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CD3" w:rsidRPr="007B0CD3" w:rsidRDefault="00216728" w:rsidP="007B0CD3">
      <w:pPr>
        <w:pStyle w:val="Nzev"/>
        <w:spacing w:line="240" w:lineRule="auto"/>
        <w:jc w:val="right"/>
        <w:rPr>
          <w:rFonts w:cs="Arial"/>
          <w:sz w:val="36"/>
          <w:szCs w:val="36"/>
        </w:rPr>
      </w:pPr>
      <w:bookmarkStart w:id="0" w:name="_Toc7650691"/>
      <w:bookmarkStart w:id="1" w:name="_GoBack"/>
      <w:bookmarkEnd w:id="1"/>
      <w:r w:rsidRPr="007B0CD3">
        <w:rPr>
          <w:rFonts w:cs="Arial"/>
          <w:sz w:val="36"/>
          <w:szCs w:val="36"/>
        </w:rPr>
        <w:t>III. - Příloha</w:t>
      </w:r>
    </w:p>
    <w:p w:rsidR="000F3489" w:rsidRPr="007B0CD3" w:rsidRDefault="00216728" w:rsidP="007B0CD3">
      <w:pPr>
        <w:pStyle w:val="Nzev"/>
        <w:spacing w:line="240" w:lineRule="auto"/>
        <w:rPr>
          <w:rFonts w:cs="Arial"/>
          <w:b/>
          <w:sz w:val="36"/>
          <w:szCs w:val="36"/>
        </w:rPr>
      </w:pPr>
      <w:r w:rsidRPr="007B0CD3">
        <w:rPr>
          <w:rFonts w:cs="Arial"/>
          <w:b/>
          <w:sz w:val="36"/>
          <w:szCs w:val="36"/>
        </w:rPr>
        <w:t xml:space="preserve">ANALÝZA DOPADŮ GRANTOVÉ </w:t>
      </w:r>
      <w:r w:rsidR="007E7AE1" w:rsidRPr="007B0CD3">
        <w:rPr>
          <w:rFonts w:cs="Arial"/>
          <w:b/>
          <w:sz w:val="36"/>
          <w:szCs w:val="36"/>
        </w:rPr>
        <w:t xml:space="preserve">PODPORY NA JUNIORSKÉ </w:t>
      </w:r>
      <w:r w:rsidR="00A4288D" w:rsidRPr="007B0CD3">
        <w:rPr>
          <w:rFonts w:cs="Arial"/>
          <w:b/>
          <w:sz w:val="36"/>
          <w:szCs w:val="36"/>
        </w:rPr>
        <w:t xml:space="preserve">GRANTY </w:t>
      </w:r>
      <w:r w:rsidR="007E7AE1" w:rsidRPr="007B0CD3">
        <w:rPr>
          <w:rFonts w:cs="Arial"/>
          <w:b/>
          <w:sz w:val="36"/>
          <w:szCs w:val="36"/>
        </w:rPr>
        <w:t>V </w:t>
      </w:r>
      <w:r w:rsidRPr="007B0CD3">
        <w:rPr>
          <w:rFonts w:cs="Arial"/>
          <w:b/>
          <w:sz w:val="36"/>
          <w:szCs w:val="36"/>
        </w:rPr>
        <w:t>ČESKÉ REPUBLICE</w:t>
      </w:r>
    </w:p>
    <w:p w:rsidR="007B40A2" w:rsidRPr="00D06063" w:rsidRDefault="00216728">
      <w:pPr>
        <w:jc w:val="left"/>
        <w:rPr>
          <w:rFonts w:cs="Arial"/>
          <w:b/>
          <w:sz w:val="28"/>
          <w:szCs w:val="28"/>
        </w:rPr>
      </w:pPr>
      <w:r w:rsidRPr="00D06063">
        <w:rPr>
          <w:rFonts w:cs="Arial"/>
          <w:b/>
          <w:sz w:val="28"/>
          <w:szCs w:val="28"/>
        </w:rPr>
        <w:br w:type="page"/>
      </w:r>
    </w:p>
    <w:sdt>
      <w:sdtPr>
        <w:rPr>
          <w:rFonts w:eastAsiaTheme="minorHAnsi" w:cs="Arial"/>
          <w:color w:val="auto"/>
          <w:sz w:val="22"/>
          <w:szCs w:val="22"/>
          <w:lang w:eastAsia="en-US"/>
        </w:rPr>
        <w:id w:val="21433102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B40A2" w:rsidRPr="00D06063" w:rsidRDefault="00216728">
          <w:pPr>
            <w:pStyle w:val="Nadpisobsahu"/>
            <w:rPr>
              <w:rFonts w:cs="Arial"/>
            </w:rPr>
          </w:pPr>
          <w:r w:rsidRPr="00D06063">
            <w:rPr>
              <w:rFonts w:cs="Arial"/>
            </w:rPr>
            <w:t>Obsah</w:t>
          </w:r>
        </w:p>
        <w:p w:rsidR="00D7090E" w:rsidRDefault="00216728">
          <w:pPr>
            <w:pStyle w:val="Obsah1"/>
            <w:rPr>
              <w:rFonts w:asciiTheme="minorHAnsi" w:hAnsiTheme="minorHAnsi"/>
              <w:noProof/>
            </w:rPr>
          </w:pPr>
          <w:r w:rsidRPr="00D06063">
            <w:rPr>
              <w:rFonts w:cs="Arial"/>
            </w:rPr>
            <w:fldChar w:fldCharType="begin"/>
          </w:r>
          <w:r w:rsidRPr="00D06063">
            <w:rPr>
              <w:rFonts w:cs="Arial"/>
            </w:rPr>
            <w:instrText xml:space="preserve"> TOC \o "1-3" \h \z \u </w:instrText>
          </w:r>
          <w:r w:rsidRPr="00D06063">
            <w:rPr>
              <w:rFonts w:cs="Arial"/>
            </w:rPr>
            <w:fldChar w:fldCharType="separate"/>
          </w:r>
          <w:hyperlink w:anchor="_Toc256000000" w:history="1">
            <w:r>
              <w:rPr>
                <w:rStyle w:val="Hypertextovodkaz"/>
                <w:rFonts w:cs="Arial"/>
              </w:rPr>
              <w:t>1.</w:t>
            </w:r>
            <w:r>
              <w:rPr>
                <w:rFonts w:asciiTheme="minorHAnsi" w:hAnsiTheme="minorHAnsi" w:cs="Arial"/>
                <w:noProof/>
              </w:rPr>
              <w:tab/>
            </w:r>
            <w:r w:rsidRPr="00D06063">
              <w:rPr>
                <w:rStyle w:val="Hypertextovodkaz"/>
                <w:rFonts w:cs="Arial"/>
              </w:rPr>
              <w:t>Úvod</w:t>
            </w:r>
            <w:r>
              <w:tab/>
            </w:r>
            <w:r>
              <w:fldChar w:fldCharType="begin"/>
            </w:r>
            <w:r>
              <w:instrText xml:space="preserve"> PAGEREF _Toc256000000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D7090E" w:rsidRDefault="00216728">
          <w:pPr>
            <w:pStyle w:val="Obsah1"/>
            <w:rPr>
              <w:rFonts w:asciiTheme="minorHAnsi" w:hAnsiTheme="minorHAnsi"/>
              <w:noProof/>
            </w:rPr>
          </w:pPr>
          <w:hyperlink w:anchor="_Toc256000001" w:history="1">
            <w:r>
              <w:rPr>
                <w:rStyle w:val="Hypertextovodkaz"/>
                <w:rFonts w:cs="Arial"/>
              </w:rPr>
              <w:t>2.</w:t>
            </w:r>
            <w:r>
              <w:rPr>
                <w:rFonts w:asciiTheme="minorHAnsi" w:hAnsiTheme="minorHAnsi" w:cs="Arial"/>
                <w:noProof/>
              </w:rPr>
              <w:tab/>
            </w:r>
            <w:r w:rsidRPr="00D06063">
              <w:rPr>
                <w:rStyle w:val="Hypertextovodkaz"/>
                <w:rFonts w:cs="Arial"/>
              </w:rPr>
              <w:t>Skutečné výdaje státního rozpočtu na VaV podle poskytovatelů v ČR</w:t>
            </w:r>
            <w:r>
              <w:tab/>
            </w:r>
            <w:r>
              <w:fldChar w:fldCharType="begin"/>
            </w:r>
            <w:r>
              <w:instrText xml:space="preserve"> PAGEREF _Toc256000001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D7090E" w:rsidRDefault="00216728">
          <w:pPr>
            <w:pStyle w:val="Obsah2"/>
            <w:rPr>
              <w:rFonts w:asciiTheme="minorHAnsi" w:hAnsiTheme="minorHAnsi"/>
              <w:noProof/>
            </w:rPr>
          </w:pPr>
          <w:hyperlink w:anchor="_Toc256000002" w:history="1">
            <w:r w:rsidRPr="00D06063">
              <w:rPr>
                <w:rStyle w:val="Hypertextovodkaz"/>
                <w:rFonts w:eastAsia="Times New Roman" w:cs="Arial"/>
                <w:lang w:eastAsia="cs-CZ"/>
              </w:rPr>
              <w:t xml:space="preserve">2.1. </w:t>
            </w:r>
            <w:r w:rsidR="00786F0D" w:rsidRPr="00D06063">
              <w:rPr>
                <w:rStyle w:val="Hypertextovodkaz"/>
                <w:rFonts w:eastAsia="Times New Roman" w:cs="Arial"/>
                <w:lang w:eastAsia="cs-CZ"/>
              </w:rPr>
              <w:t>Rozpočet GA ČR</w:t>
            </w:r>
            <w:r>
              <w:tab/>
            </w:r>
            <w:r>
              <w:fldChar w:fldCharType="begin"/>
            </w:r>
            <w:r>
              <w:instrText xml:space="preserve"> PAGEREF _Toc256000002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D7090E" w:rsidRDefault="00216728">
          <w:pPr>
            <w:pStyle w:val="Obsah1"/>
            <w:rPr>
              <w:rFonts w:asciiTheme="minorHAnsi" w:hAnsiTheme="minorHAnsi"/>
              <w:noProof/>
            </w:rPr>
          </w:pPr>
          <w:hyperlink w:anchor="_Toc256000003" w:history="1">
            <w:r>
              <w:rPr>
                <w:rStyle w:val="Hypertextovodkaz"/>
                <w:rFonts w:cs="Arial"/>
              </w:rPr>
              <w:t>3.</w:t>
            </w:r>
            <w:r>
              <w:rPr>
                <w:rFonts w:asciiTheme="minorHAnsi" w:hAnsiTheme="minorHAnsi" w:cs="Arial"/>
                <w:noProof/>
              </w:rPr>
              <w:tab/>
            </w:r>
            <w:r w:rsidRPr="00D06063">
              <w:rPr>
                <w:rStyle w:val="Hypertextovodkaz"/>
                <w:rFonts w:cs="Arial"/>
              </w:rPr>
              <w:t>Juniorské granty</w:t>
            </w:r>
            <w:r>
              <w:tab/>
            </w:r>
            <w:r>
              <w:fldChar w:fldCharType="begin"/>
            </w:r>
            <w:r>
              <w:instrText xml:space="preserve"> PAGEREF _Toc256000003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D7090E" w:rsidRDefault="00216728">
          <w:pPr>
            <w:pStyle w:val="Obsah2"/>
            <w:tabs>
              <w:tab w:val="left" w:pos="1320"/>
            </w:tabs>
            <w:rPr>
              <w:rFonts w:asciiTheme="minorHAnsi" w:hAnsiTheme="minorHAnsi"/>
              <w:noProof/>
            </w:rPr>
          </w:pPr>
          <w:hyperlink w:anchor="_Toc256000004" w:history="1">
            <w:r>
              <w:rPr>
                <w:rStyle w:val="Hypertextovodkaz"/>
                <w:rFonts w:eastAsia="Times New Roman" w:cs="Arial"/>
                <w:lang w:eastAsia="cs-CZ"/>
              </w:rPr>
              <w:t>3.1</w:t>
            </w:r>
            <w:r>
              <w:rPr>
                <w:rFonts w:asciiTheme="minorHAnsi" w:eastAsia="Times New Roman" w:hAnsiTheme="minorHAnsi" w:cs="Arial"/>
                <w:noProof/>
                <w:lang w:eastAsia="cs-CZ"/>
              </w:rPr>
              <w:tab/>
            </w:r>
            <w:r w:rsidR="00786F0D" w:rsidRPr="00D06063">
              <w:rPr>
                <w:rStyle w:val="Hypertextovodkaz"/>
                <w:rFonts w:eastAsia="Times New Roman" w:cs="Arial"/>
                <w:lang w:eastAsia="cs-CZ"/>
              </w:rPr>
              <w:t>Juniorské granty podle oborů</w:t>
            </w:r>
            <w:r>
              <w:tab/>
            </w:r>
            <w:r>
              <w:fldChar w:fldCharType="begin"/>
            </w:r>
            <w:r>
              <w:instrText xml:space="preserve"> PAGEREF _Toc256000004 \h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:rsidR="00D7090E" w:rsidRDefault="00216728">
          <w:pPr>
            <w:pStyle w:val="Obsah2"/>
            <w:rPr>
              <w:rFonts w:asciiTheme="minorHAnsi" w:hAnsiTheme="minorHAnsi"/>
              <w:noProof/>
            </w:rPr>
          </w:pPr>
          <w:hyperlink w:anchor="_Toc256000005" w:history="1">
            <w:r>
              <w:rPr>
                <w:rStyle w:val="Hypertextovodkaz"/>
                <w:rFonts w:eastAsia="Times New Roman" w:cs="Arial"/>
                <w:lang w:eastAsia="cs-CZ"/>
              </w:rPr>
              <w:t>3.2 Juniorské</w:t>
            </w:r>
            <w:r w:rsidR="00786F0D" w:rsidRPr="00D06063">
              <w:rPr>
                <w:rStyle w:val="Hypertextovodkaz"/>
                <w:rFonts w:eastAsia="Times New Roman" w:cs="Arial"/>
                <w:lang w:eastAsia="cs-CZ"/>
              </w:rPr>
              <w:t xml:space="preserve"> granty podle uchazečů</w:t>
            </w:r>
            <w:r>
              <w:tab/>
            </w:r>
            <w:r>
              <w:fldChar w:fldCharType="begin"/>
            </w:r>
            <w:r>
              <w:instrText xml:space="preserve"> PAGEREF _Toc256000005 \h </w:instrText>
            </w:r>
            <w:r>
              <w:fldChar w:fldCharType="separate"/>
            </w:r>
            <w:r>
              <w:t>12</w:t>
            </w:r>
            <w:r>
              <w:fldChar w:fldCharType="end"/>
            </w:r>
          </w:hyperlink>
        </w:p>
        <w:p w:rsidR="00D7090E" w:rsidRDefault="00216728">
          <w:pPr>
            <w:pStyle w:val="Obsah2"/>
            <w:tabs>
              <w:tab w:val="left" w:pos="1320"/>
            </w:tabs>
            <w:rPr>
              <w:rFonts w:asciiTheme="minorHAnsi" w:hAnsiTheme="minorHAnsi"/>
              <w:noProof/>
            </w:rPr>
          </w:pPr>
          <w:hyperlink w:anchor="_Toc256000006" w:history="1">
            <w:r>
              <w:rPr>
                <w:rStyle w:val="Hypertextovodkaz"/>
                <w:rFonts w:eastAsia="Times New Roman" w:cs="Arial"/>
                <w:lang w:eastAsia="cs-CZ"/>
              </w:rPr>
              <w:t>3.3</w:t>
            </w:r>
            <w:r>
              <w:rPr>
                <w:rFonts w:asciiTheme="minorHAnsi" w:eastAsia="Times New Roman" w:hAnsiTheme="minorHAnsi" w:cs="Arial"/>
                <w:noProof/>
                <w:lang w:eastAsia="cs-CZ"/>
              </w:rPr>
              <w:tab/>
            </w:r>
            <w:r w:rsidR="00786F0D" w:rsidRPr="00D06063">
              <w:rPr>
                <w:rStyle w:val="Hypertextovodkaz"/>
                <w:rFonts w:eastAsia="Times New Roman" w:cs="Arial"/>
                <w:lang w:eastAsia="cs-CZ"/>
              </w:rPr>
              <w:t>Juniorské granty podle úvazku</w:t>
            </w:r>
            <w:r>
              <w:tab/>
            </w:r>
            <w:r>
              <w:fldChar w:fldCharType="begin"/>
            </w:r>
            <w:r>
              <w:instrText xml:space="preserve"> PAGEREF _Toc256000006 \h </w:instrText>
            </w:r>
            <w:r>
              <w:fldChar w:fldCharType="separate"/>
            </w:r>
            <w:r>
              <w:t>14</w:t>
            </w:r>
            <w:r>
              <w:fldChar w:fldCharType="end"/>
            </w:r>
          </w:hyperlink>
        </w:p>
        <w:p w:rsidR="00D7090E" w:rsidRDefault="00216728">
          <w:pPr>
            <w:pStyle w:val="Obsah2"/>
            <w:tabs>
              <w:tab w:val="left" w:pos="1320"/>
            </w:tabs>
            <w:rPr>
              <w:rFonts w:asciiTheme="minorHAnsi" w:hAnsiTheme="minorHAnsi"/>
              <w:noProof/>
            </w:rPr>
          </w:pPr>
          <w:hyperlink w:anchor="_Toc256000007" w:history="1">
            <w:r>
              <w:rPr>
                <w:rStyle w:val="Hypertextovodkaz"/>
                <w:rFonts w:eastAsia="Times New Roman" w:cs="Arial"/>
                <w:lang w:eastAsia="cs-CZ"/>
              </w:rPr>
              <w:t>3.4</w:t>
            </w:r>
            <w:r>
              <w:rPr>
                <w:rFonts w:asciiTheme="minorHAnsi" w:eastAsia="Times New Roman" w:hAnsiTheme="minorHAnsi" w:cs="Arial"/>
                <w:noProof/>
                <w:lang w:eastAsia="cs-CZ"/>
              </w:rPr>
              <w:tab/>
            </w:r>
            <w:r w:rsidR="00786F0D" w:rsidRPr="00D06063">
              <w:rPr>
                <w:rStyle w:val="Hypertextovodkaz"/>
                <w:rFonts w:eastAsia="Times New Roman" w:cs="Arial"/>
                <w:lang w:eastAsia="cs-CZ"/>
              </w:rPr>
              <w:t>Zastoupení žen v juniorských grantech</w:t>
            </w:r>
            <w:r>
              <w:tab/>
            </w:r>
            <w:r>
              <w:fldChar w:fldCharType="begin"/>
            </w:r>
            <w:r>
              <w:instrText xml:space="preserve"> PAGEREF _Toc256000007 \h </w:instrText>
            </w:r>
            <w:r>
              <w:fldChar w:fldCharType="separate"/>
            </w:r>
            <w:r>
              <w:t>17</w:t>
            </w:r>
            <w:r>
              <w:fldChar w:fldCharType="end"/>
            </w:r>
          </w:hyperlink>
        </w:p>
        <w:p w:rsidR="00D7090E" w:rsidRDefault="00216728">
          <w:pPr>
            <w:pStyle w:val="Obsah2"/>
            <w:tabs>
              <w:tab w:val="left" w:pos="1320"/>
            </w:tabs>
            <w:rPr>
              <w:rFonts w:asciiTheme="minorHAnsi" w:hAnsiTheme="minorHAnsi"/>
              <w:noProof/>
            </w:rPr>
          </w:pPr>
          <w:hyperlink w:anchor="_Toc256000008" w:history="1">
            <w:r>
              <w:rPr>
                <w:rStyle w:val="Hypertextovodkaz"/>
                <w:rFonts w:eastAsia="Times New Roman" w:cs="Arial"/>
                <w:lang w:eastAsia="cs-CZ"/>
              </w:rPr>
              <w:t>3.5</w:t>
            </w:r>
            <w:r>
              <w:rPr>
                <w:rFonts w:asciiTheme="minorHAnsi" w:eastAsia="Times New Roman" w:hAnsiTheme="minorHAnsi" w:cs="Arial"/>
                <w:noProof/>
                <w:lang w:eastAsia="cs-CZ"/>
              </w:rPr>
              <w:tab/>
            </w:r>
            <w:r w:rsidR="00786F0D" w:rsidRPr="00D06063">
              <w:rPr>
                <w:rStyle w:val="Hypertextovodkaz"/>
                <w:rFonts w:eastAsia="Times New Roman" w:cs="Arial"/>
                <w:lang w:eastAsia="cs-CZ"/>
              </w:rPr>
              <w:t>Naplnění hlavních cílů juniorských grantů</w:t>
            </w:r>
            <w:r>
              <w:tab/>
            </w:r>
            <w:r>
              <w:fldChar w:fldCharType="begin"/>
            </w:r>
            <w:r>
              <w:instrText xml:space="preserve"> PAGEREF _Toc256000008 \h </w:instrText>
            </w:r>
            <w:r>
              <w:fldChar w:fldCharType="separate"/>
            </w:r>
            <w:r>
              <w:t>18</w:t>
            </w:r>
            <w:r>
              <w:fldChar w:fldCharType="end"/>
            </w:r>
          </w:hyperlink>
        </w:p>
        <w:p w:rsidR="00D7090E" w:rsidRDefault="00216728">
          <w:pPr>
            <w:pStyle w:val="Obsah2"/>
            <w:tabs>
              <w:tab w:val="left" w:pos="1320"/>
            </w:tabs>
            <w:rPr>
              <w:rFonts w:asciiTheme="minorHAnsi" w:hAnsiTheme="minorHAnsi"/>
              <w:noProof/>
            </w:rPr>
          </w:pPr>
          <w:hyperlink w:anchor="_Toc256000009" w:history="1">
            <w:r>
              <w:rPr>
                <w:rStyle w:val="Hypertextovodkaz"/>
                <w:rFonts w:eastAsia="Times New Roman" w:cs="Arial"/>
                <w:lang w:eastAsia="cs-CZ"/>
              </w:rPr>
              <w:t>3.6</w:t>
            </w:r>
            <w:r>
              <w:rPr>
                <w:rFonts w:asciiTheme="minorHAnsi" w:eastAsia="Times New Roman" w:hAnsiTheme="minorHAnsi" w:cs="Arial"/>
                <w:noProof/>
                <w:lang w:eastAsia="cs-CZ"/>
              </w:rPr>
              <w:tab/>
            </w:r>
            <w:r w:rsidR="00786F0D" w:rsidRPr="00894BB3">
              <w:rPr>
                <w:rStyle w:val="Hypertextovodkaz"/>
                <w:rFonts w:eastAsia="Times New Roman" w:cs="Arial"/>
                <w:lang w:eastAsia="cs-CZ"/>
              </w:rPr>
              <w:t>Hodnocení ukončených grantových projektů</w:t>
            </w:r>
            <w:r>
              <w:tab/>
            </w:r>
            <w:r>
              <w:fldChar w:fldCharType="begin"/>
            </w:r>
            <w:r>
              <w:instrText xml:space="preserve"> PAGEREF _Toc256000009 \h </w:instrText>
            </w:r>
            <w:r>
              <w:fldChar w:fldCharType="separate"/>
            </w:r>
            <w:r>
              <w:t>21</w:t>
            </w:r>
            <w:r>
              <w:fldChar w:fldCharType="end"/>
            </w:r>
          </w:hyperlink>
        </w:p>
        <w:p w:rsidR="00D7090E" w:rsidRDefault="00216728">
          <w:pPr>
            <w:pStyle w:val="Obsah1"/>
            <w:rPr>
              <w:rFonts w:asciiTheme="minorHAnsi" w:hAnsiTheme="minorHAnsi"/>
              <w:noProof/>
            </w:rPr>
          </w:pPr>
          <w:hyperlink w:anchor="_Toc256000010" w:history="1">
            <w:r>
              <w:rPr>
                <w:rStyle w:val="Hypertextovodkaz"/>
                <w:rFonts w:eastAsia="Times New Roman" w:cs="Arial"/>
                <w:lang w:eastAsia="cs-CZ"/>
              </w:rPr>
              <w:t>4.</w:t>
            </w:r>
            <w:r>
              <w:rPr>
                <w:rFonts w:asciiTheme="minorHAnsi" w:eastAsia="Times New Roman" w:hAnsiTheme="minorHAnsi" w:cs="Arial"/>
                <w:noProof/>
                <w:lang w:eastAsia="cs-CZ"/>
              </w:rPr>
              <w:tab/>
            </w:r>
            <w:r w:rsidRPr="00D06063">
              <w:rPr>
                <w:rStyle w:val="Hypertextovodkaz"/>
                <w:rFonts w:eastAsia="Times New Roman" w:cs="Arial"/>
                <w:lang w:eastAsia="cs-CZ"/>
              </w:rPr>
              <w:t>Bibliom</w:t>
            </w:r>
            <w:r w:rsidRPr="00D06063">
              <w:rPr>
                <w:rStyle w:val="Hypertextovodkaz"/>
                <w:rFonts w:eastAsia="Times New Roman" w:cs="Arial"/>
                <w:lang w:eastAsia="cs-CZ"/>
              </w:rPr>
              <w:t>etrická analýza grantových projektů Juniorské granty za období 2014</w:t>
            </w:r>
            <w:r w:rsidR="00B70530">
              <w:rPr>
                <w:rStyle w:val="Hypertextovodkaz"/>
                <w:rFonts w:eastAsia="Times New Roman" w:cs="Arial"/>
                <w:lang w:eastAsia="cs-CZ"/>
              </w:rPr>
              <w:t>–</w:t>
            </w:r>
            <w:r w:rsidRPr="00D06063">
              <w:rPr>
                <w:rStyle w:val="Hypertextovodkaz"/>
                <w:rFonts w:eastAsia="Times New Roman" w:cs="Arial"/>
                <w:lang w:eastAsia="cs-CZ"/>
              </w:rPr>
              <w:t>2017</w:t>
            </w:r>
            <w:r>
              <w:tab/>
            </w:r>
            <w:r>
              <w:fldChar w:fldCharType="begin"/>
            </w:r>
            <w:r>
              <w:instrText xml:space="preserve"> PAGEREF _Toc256000010 \h </w:instrText>
            </w:r>
            <w:r>
              <w:fldChar w:fldCharType="separate"/>
            </w:r>
            <w:r>
              <w:t>22</w:t>
            </w:r>
            <w:r>
              <w:fldChar w:fldCharType="end"/>
            </w:r>
          </w:hyperlink>
        </w:p>
        <w:p w:rsidR="00D7090E" w:rsidRDefault="00216728">
          <w:pPr>
            <w:pStyle w:val="Obsah1"/>
            <w:rPr>
              <w:rFonts w:asciiTheme="minorHAnsi" w:hAnsiTheme="minorHAnsi"/>
              <w:noProof/>
            </w:rPr>
          </w:pPr>
          <w:hyperlink w:anchor="_Toc256000011" w:history="1">
            <w:r>
              <w:rPr>
                <w:rStyle w:val="Hypertextovodkaz"/>
                <w:rFonts w:cs="Arial"/>
              </w:rPr>
              <w:t>5.</w:t>
            </w:r>
            <w:r>
              <w:rPr>
                <w:rFonts w:asciiTheme="minorHAnsi" w:hAnsiTheme="minorHAnsi" w:cs="Arial"/>
                <w:noProof/>
              </w:rPr>
              <w:tab/>
            </w:r>
            <w:r>
              <w:rPr>
                <w:rStyle w:val="Hypertextovodkaz"/>
                <w:rFonts w:cs="Arial"/>
              </w:rPr>
              <w:t>Úspěšně řešené projekty</w:t>
            </w:r>
            <w:r>
              <w:tab/>
            </w:r>
            <w:r>
              <w:fldChar w:fldCharType="begin"/>
            </w:r>
            <w:r>
              <w:instrText xml:space="preserve"> PAGEREF _Toc256000011 \h </w:instrText>
            </w:r>
            <w:r>
              <w:fldChar w:fldCharType="separate"/>
            </w:r>
            <w:r>
              <w:t>25</w:t>
            </w:r>
            <w:r>
              <w:fldChar w:fldCharType="end"/>
            </w:r>
          </w:hyperlink>
        </w:p>
        <w:p w:rsidR="00D7090E" w:rsidRDefault="00216728">
          <w:pPr>
            <w:pStyle w:val="Obsah2"/>
            <w:rPr>
              <w:rFonts w:asciiTheme="minorHAnsi" w:hAnsiTheme="minorHAnsi"/>
              <w:noProof/>
            </w:rPr>
          </w:pPr>
          <w:hyperlink w:anchor="_Toc256000012" w:history="1">
            <w:r>
              <w:rPr>
                <w:rStyle w:val="Hypertextovodkaz"/>
              </w:rPr>
              <w:t xml:space="preserve">5.1 </w:t>
            </w:r>
            <w:r w:rsidR="00ED0C90">
              <w:rPr>
                <w:rStyle w:val="Hypertextovodkaz"/>
              </w:rPr>
              <w:t>Juniorské</w:t>
            </w:r>
            <w:r>
              <w:rPr>
                <w:rStyle w:val="Hypertextovodkaz"/>
              </w:rPr>
              <w:t xml:space="preserve"> </w:t>
            </w:r>
            <w:r w:rsidR="00ED0C90">
              <w:rPr>
                <w:rStyle w:val="Hypertextovodkaz"/>
              </w:rPr>
              <w:t>/</w:t>
            </w:r>
            <w:r>
              <w:rPr>
                <w:rStyle w:val="Hypertextovodkaz"/>
              </w:rPr>
              <w:t xml:space="preserve"> </w:t>
            </w:r>
            <w:r w:rsidR="00ED0C90">
              <w:rPr>
                <w:rStyle w:val="Hypertextovodkaz"/>
              </w:rPr>
              <w:t>postdoktorské projekty oceněné Cenou předsedkyně</w:t>
            </w:r>
            <w:r>
              <w:rPr>
                <w:rStyle w:val="Hypertextovodkaz"/>
              </w:rPr>
              <w:t xml:space="preserve"> </w:t>
            </w:r>
            <w:r w:rsidR="00ED0C90">
              <w:rPr>
                <w:rStyle w:val="Hypertextovodkaz"/>
              </w:rPr>
              <w:t>/</w:t>
            </w:r>
            <w:r>
              <w:rPr>
                <w:rStyle w:val="Hypertextovodkaz"/>
              </w:rPr>
              <w:t xml:space="preserve"> </w:t>
            </w:r>
            <w:r w:rsidR="00ED0C90">
              <w:rPr>
                <w:rStyle w:val="Hypertextovodkaz"/>
              </w:rPr>
              <w:t>předsedy GA ČR v letech 2015 - 2019</w:t>
            </w:r>
            <w:r>
              <w:tab/>
            </w:r>
            <w:r>
              <w:fldChar w:fldCharType="begin"/>
            </w:r>
            <w:r>
              <w:instrText xml:space="preserve"> PAGEREF _Toc256000012 \h </w:instrText>
            </w:r>
            <w:r>
              <w:fldChar w:fldCharType="separate"/>
            </w:r>
            <w:r>
              <w:t>25</w:t>
            </w:r>
            <w:r>
              <w:fldChar w:fldCharType="end"/>
            </w:r>
          </w:hyperlink>
        </w:p>
        <w:p w:rsidR="00D7090E" w:rsidRDefault="00216728">
          <w:pPr>
            <w:pStyle w:val="Obsah2"/>
            <w:rPr>
              <w:rFonts w:asciiTheme="minorHAnsi" w:hAnsiTheme="minorHAnsi"/>
              <w:noProof/>
            </w:rPr>
          </w:pPr>
          <w:hyperlink w:anchor="_Toc256000013" w:history="1">
            <w:r w:rsidRPr="00ED0C90">
              <w:rPr>
                <w:rStyle w:val="Hypertextovodkaz"/>
                <w:rFonts w:eastAsia="Times New Roman"/>
                <w:lang w:eastAsia="cs-CZ"/>
              </w:rPr>
              <w:t>5.</w:t>
            </w:r>
            <w:r w:rsidR="00AA6B87">
              <w:rPr>
                <w:rStyle w:val="Hypertextovodkaz"/>
                <w:rFonts w:eastAsia="Times New Roman"/>
                <w:lang w:eastAsia="cs-CZ"/>
              </w:rPr>
              <w:t xml:space="preserve">2 </w:t>
            </w:r>
            <w:r w:rsidRPr="00ED0C90">
              <w:rPr>
                <w:rStyle w:val="Hypertextovodkaz"/>
                <w:rFonts w:eastAsia="Times New Roman"/>
                <w:lang w:eastAsia="cs-CZ"/>
              </w:rPr>
              <w:t>Juniorské</w:t>
            </w:r>
            <w:r w:rsidR="00AA6B87">
              <w:rPr>
                <w:rStyle w:val="Hypertextovodkaz"/>
                <w:rFonts w:eastAsia="Times New Roman"/>
                <w:lang w:eastAsia="cs-CZ"/>
              </w:rPr>
              <w:t xml:space="preserve"> </w:t>
            </w:r>
            <w:r w:rsidRPr="00ED0C90">
              <w:rPr>
                <w:rStyle w:val="Hypertextovodkaz"/>
                <w:rFonts w:eastAsia="Times New Roman"/>
                <w:lang w:eastAsia="cs-CZ"/>
              </w:rPr>
              <w:t>/</w:t>
            </w:r>
            <w:r w:rsidR="00AA6B87">
              <w:rPr>
                <w:rStyle w:val="Hypertextovodkaz"/>
                <w:rFonts w:eastAsia="Times New Roman"/>
                <w:lang w:eastAsia="cs-CZ"/>
              </w:rPr>
              <w:t xml:space="preserve"> </w:t>
            </w:r>
            <w:r w:rsidRPr="00ED0C90">
              <w:rPr>
                <w:rStyle w:val="Hypertextovodkaz"/>
                <w:rFonts w:eastAsia="Times New Roman"/>
                <w:lang w:eastAsia="cs-CZ"/>
              </w:rPr>
              <w:t>postdoktorské projekty nominované expertními a</w:t>
            </w:r>
            <w:r w:rsidR="005A29A0">
              <w:rPr>
                <w:rStyle w:val="Hypertextovodkaz"/>
                <w:rFonts w:eastAsia="Times New Roman"/>
                <w:lang w:eastAsia="cs-CZ"/>
              </w:rPr>
              <w:t> </w:t>
            </w:r>
            <w:r w:rsidRPr="00ED0C90">
              <w:rPr>
                <w:rStyle w:val="Hypertextovodkaz"/>
                <w:rFonts w:eastAsia="Times New Roman"/>
                <w:lang w:eastAsia="cs-CZ"/>
              </w:rPr>
              <w:t>poradními orgány na Cenu předsedkyně</w:t>
            </w:r>
            <w:r w:rsidR="00AA6B87">
              <w:rPr>
                <w:rStyle w:val="Hypertextovodkaz"/>
                <w:rFonts w:eastAsia="Times New Roman"/>
                <w:lang w:eastAsia="cs-CZ"/>
              </w:rPr>
              <w:t xml:space="preserve"> </w:t>
            </w:r>
            <w:r w:rsidRPr="00ED0C90">
              <w:rPr>
                <w:rStyle w:val="Hypertextovodkaz"/>
                <w:rFonts w:eastAsia="Times New Roman"/>
                <w:lang w:eastAsia="cs-CZ"/>
              </w:rPr>
              <w:t>/</w:t>
            </w:r>
            <w:r w:rsidR="00AA6B87">
              <w:rPr>
                <w:rStyle w:val="Hypertextovodkaz"/>
                <w:rFonts w:eastAsia="Times New Roman"/>
                <w:lang w:eastAsia="cs-CZ"/>
              </w:rPr>
              <w:t xml:space="preserve"> </w:t>
            </w:r>
            <w:r w:rsidRPr="00ED0C90">
              <w:rPr>
                <w:rStyle w:val="Hypertextovodkaz"/>
                <w:rFonts w:eastAsia="Times New Roman"/>
                <w:lang w:eastAsia="cs-CZ"/>
              </w:rPr>
              <w:t>předsedy GA ČR v</w:t>
            </w:r>
            <w:r w:rsidR="005A29A0">
              <w:rPr>
                <w:rStyle w:val="Hypertextovodkaz"/>
                <w:rFonts w:eastAsia="Times New Roman"/>
                <w:lang w:eastAsia="cs-CZ"/>
              </w:rPr>
              <w:t> </w:t>
            </w:r>
            <w:r w:rsidRPr="00ED0C90">
              <w:rPr>
                <w:rStyle w:val="Hypertextovodkaz"/>
                <w:rFonts w:eastAsia="Times New Roman"/>
                <w:lang w:eastAsia="cs-CZ"/>
              </w:rPr>
              <w:t>letech 2015 - 2019</w:t>
            </w:r>
            <w:r>
              <w:tab/>
            </w:r>
            <w:r>
              <w:fldChar w:fldCharType="begin"/>
            </w:r>
            <w:r>
              <w:instrText xml:space="preserve"> PAGEREF _Toc256000013 \h </w:instrText>
            </w:r>
            <w:r>
              <w:fldChar w:fldCharType="separate"/>
            </w:r>
            <w:r>
              <w:t>30</w:t>
            </w:r>
            <w:r>
              <w:fldChar w:fldCharType="end"/>
            </w:r>
          </w:hyperlink>
        </w:p>
        <w:p w:rsidR="00D7090E" w:rsidRDefault="00216728">
          <w:pPr>
            <w:pStyle w:val="Obsah1"/>
            <w:rPr>
              <w:rFonts w:asciiTheme="minorHAnsi" w:hAnsiTheme="minorHAnsi"/>
              <w:noProof/>
            </w:rPr>
          </w:pPr>
          <w:hyperlink w:anchor="_Toc256000014" w:history="1">
            <w:r>
              <w:rPr>
                <w:rStyle w:val="Hypertextovodkaz"/>
                <w:rFonts w:cs="Arial"/>
              </w:rPr>
              <w:t>6.</w:t>
            </w:r>
            <w:r>
              <w:rPr>
                <w:rFonts w:asciiTheme="minorHAnsi" w:hAnsiTheme="minorHAnsi" w:cs="Arial"/>
                <w:noProof/>
              </w:rPr>
              <w:tab/>
            </w:r>
            <w:r w:rsidRPr="00D06063">
              <w:rPr>
                <w:rStyle w:val="Hypertextovodkaz"/>
                <w:rFonts w:cs="Arial"/>
              </w:rPr>
              <w:t>Závěr</w:t>
            </w:r>
            <w:r>
              <w:tab/>
            </w:r>
            <w:r>
              <w:fldChar w:fldCharType="begin"/>
            </w:r>
            <w:r>
              <w:instrText xml:space="preserve"> PAGEREF _Toc256000014 \h </w:instrText>
            </w:r>
            <w:r>
              <w:fldChar w:fldCharType="separate"/>
            </w:r>
            <w:r>
              <w:t>38</w:t>
            </w:r>
            <w:r>
              <w:fldChar w:fldCharType="end"/>
            </w:r>
          </w:hyperlink>
        </w:p>
        <w:p w:rsidR="00D7090E" w:rsidRPr="00D06063" w:rsidRDefault="00216728">
          <w:pPr>
            <w:rPr>
              <w:rFonts w:cs="Arial"/>
              <w:b/>
              <w:bCs/>
            </w:rPr>
          </w:pPr>
          <w:r w:rsidRPr="00D06063">
            <w:rPr>
              <w:rFonts w:cs="Arial"/>
              <w:b/>
              <w:bCs/>
            </w:rPr>
            <w:fldChar w:fldCharType="end"/>
          </w:r>
        </w:p>
      </w:sdtContent>
    </w:sdt>
    <w:p w:rsidR="004C3FF6" w:rsidRPr="00D06063" w:rsidRDefault="004C3FF6" w:rsidP="00740954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b/>
          <w:sz w:val="28"/>
          <w:szCs w:val="28"/>
        </w:rPr>
      </w:pPr>
    </w:p>
    <w:p w:rsidR="007B40A2" w:rsidRPr="00D06063" w:rsidRDefault="00216728">
      <w:pPr>
        <w:jc w:val="left"/>
        <w:rPr>
          <w:rFonts w:cs="Arial"/>
        </w:rPr>
      </w:pPr>
      <w:r w:rsidRPr="00D06063">
        <w:rPr>
          <w:rFonts w:cs="Arial"/>
        </w:rPr>
        <w:br w:type="page"/>
      </w:r>
    </w:p>
    <w:p w:rsidR="007B40A2" w:rsidRPr="00D06063" w:rsidRDefault="00216728" w:rsidP="007B40A2">
      <w:pPr>
        <w:pStyle w:val="Nadpisobsahu"/>
        <w:rPr>
          <w:rFonts w:cs="Arial"/>
        </w:rPr>
      </w:pPr>
      <w:r w:rsidRPr="00D06063">
        <w:rPr>
          <w:rFonts w:cs="Arial"/>
        </w:rPr>
        <w:lastRenderedPageBreak/>
        <w:t>Seznam grafů</w:t>
      </w:r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r w:rsidRPr="00D06063">
        <w:rPr>
          <w:rFonts w:cs="Arial"/>
        </w:rPr>
        <w:fldChar w:fldCharType="begin"/>
      </w:r>
      <w:r w:rsidRPr="00D06063">
        <w:rPr>
          <w:rFonts w:cs="Arial"/>
        </w:rPr>
        <w:instrText xml:space="preserve"> TOC \h \z \c "Graf" </w:instrText>
      </w:r>
      <w:r w:rsidRPr="00D06063">
        <w:rPr>
          <w:rFonts w:cs="Arial"/>
        </w:rPr>
        <w:fldChar w:fldCharType="separate"/>
      </w:r>
      <w:hyperlink w:anchor="_Toc256000015" w:history="1">
        <w:r w:rsidRPr="00D06063">
          <w:rPr>
            <w:rStyle w:val="Hypertextovodkaz"/>
            <w:rFonts w:cs="Arial"/>
          </w:rPr>
          <w:t xml:space="preserve">Graf </w:t>
        </w:r>
        <w:r w:rsidR="00CA0F1B" w:rsidRPr="00D06063">
          <w:rPr>
            <w:rStyle w:val="Hypertextovodkaz"/>
            <w:rFonts w:cs="Arial"/>
          </w:rPr>
          <w:t>1</w:t>
        </w:r>
        <w:r w:rsidRPr="00D06063">
          <w:rPr>
            <w:rStyle w:val="Hypertextovodkaz"/>
            <w:rFonts w:cs="Arial"/>
          </w:rPr>
          <w:t xml:space="preserve"> </w:t>
        </w:r>
        <w:r w:rsidR="002C3B7C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Skutečné výdaje státního rozpočtu na výzkum, vývoj a inovace v ČR podle hlavních poskytovatelů* v roce 2017 (v mld. Kč)</w:t>
        </w:r>
        <w:r>
          <w:tab/>
        </w:r>
        <w:r>
          <w:fldChar w:fldCharType="begin"/>
        </w:r>
        <w:r>
          <w:instrText xml:space="preserve"> PAGEREF _Toc256000015 \h </w:instrText>
        </w:r>
        <w:r>
          <w:fldChar w:fldCharType="separate"/>
        </w:r>
        <w:r>
          <w:t>8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16" w:history="1">
        <w:r w:rsidRPr="00D06063">
          <w:rPr>
            <w:rStyle w:val="Hypertextovodkaz"/>
            <w:rFonts w:cs="Arial"/>
          </w:rPr>
          <w:t xml:space="preserve">Graf </w:t>
        </w:r>
        <w:r w:rsidR="00CA0F1B" w:rsidRPr="00D06063">
          <w:rPr>
            <w:rStyle w:val="Hypertextovodkaz"/>
            <w:rFonts w:cs="Arial"/>
          </w:rPr>
          <w:t>2</w:t>
        </w:r>
        <w:r w:rsidRPr="00D06063">
          <w:rPr>
            <w:rStyle w:val="Hypertextovodkaz"/>
            <w:rFonts w:cs="Arial"/>
          </w:rPr>
          <w:t xml:space="preserve"> </w:t>
        </w:r>
        <w:r w:rsidR="002C3B7C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Schválený rozpočet GA ČR podle formy financování za období 1997–2017</w:t>
        </w:r>
        <w:r w:rsidR="00742C11">
          <w:rPr>
            <w:noProof/>
            <w:lang w:eastAsia="cs-CZ"/>
          </w:rPr>
          <w:drawing>
            <wp:inline distT="0" distB="0" distL="0" distR="0">
              <wp:extent cx="5760720" cy="2419350"/>
              <wp:effectExtent l="0" t="0" r="0" b="0"/>
              <wp:docPr id="12" name="Obrázek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9"/>
                      <a:srcRect t="-1" b="2408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241935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inline>
          </w:drawing>
        </w:r>
        <w:r w:rsidR="00742C11" w:rsidRPr="00742C11">
          <w:rPr>
            <w:rStyle w:val="Hypertextovodkaz"/>
            <w:rFonts w:cs="Arial"/>
          </w:rPr>
          <w:t xml:space="preserve"> Zdroj: RVVI</w:t>
        </w:r>
        <w:r>
          <w:tab/>
        </w:r>
        <w:r>
          <w:fldChar w:fldCharType="begin"/>
        </w:r>
        <w:r>
          <w:instrText xml:space="preserve"> PAGEREF _Toc256000016 \h </w:instrText>
        </w:r>
        <w:r>
          <w:fldChar w:fldCharType="separate"/>
        </w:r>
        <w:r>
          <w:t>8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17" w:history="1">
        <w:r w:rsidRPr="00D06063">
          <w:rPr>
            <w:rStyle w:val="Hypertextovodkaz"/>
            <w:rFonts w:cs="Arial"/>
          </w:rPr>
          <w:t xml:space="preserve">Graf </w:t>
        </w:r>
        <w:r w:rsidR="00CA0F1B" w:rsidRPr="00D06063">
          <w:rPr>
            <w:rStyle w:val="Hypertextovodkaz"/>
            <w:rFonts w:cs="Arial"/>
          </w:rPr>
          <w:t>3</w:t>
        </w:r>
        <w:r w:rsidRPr="00D06063">
          <w:rPr>
            <w:rStyle w:val="Hypertextovodkaz"/>
            <w:rFonts w:cs="Arial"/>
          </w:rPr>
          <w:t xml:space="preserve"> </w:t>
        </w:r>
        <w:r w:rsidR="00C74A46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Vývoj průměrných nákladů na 1. rok řešení a na celou dobu řešení na financovaný juniorský projekt s počátkem řešení 2015–2019 (v tis. Kč)</w:t>
        </w:r>
        <w:r>
          <w:tab/>
        </w:r>
        <w:r>
          <w:fldChar w:fldCharType="begin"/>
        </w:r>
        <w:r>
          <w:instrText xml:space="preserve"> PAGEREF _Toc256000017 \h </w:instrText>
        </w:r>
        <w:r>
          <w:fldChar w:fldCharType="separate"/>
        </w:r>
        <w:r>
          <w:t>10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18" w:history="1">
        <w:r w:rsidRPr="00D06063">
          <w:rPr>
            <w:rStyle w:val="Hypertextovodkaz"/>
            <w:rFonts w:cs="Arial"/>
          </w:rPr>
          <w:t xml:space="preserve">Graf </w:t>
        </w:r>
        <w:r w:rsidR="00CA0F1B" w:rsidRPr="00D06063">
          <w:rPr>
            <w:rStyle w:val="Hypertextovodkaz"/>
            <w:rFonts w:cs="Arial"/>
          </w:rPr>
          <w:t>4</w:t>
        </w:r>
        <w:r w:rsidRPr="00D06063">
          <w:rPr>
            <w:rStyle w:val="Hypertextovodkaz"/>
            <w:rFonts w:cs="Arial"/>
          </w:rPr>
          <w:t xml:space="preserve"> </w:t>
        </w:r>
        <w:r w:rsidR="00B43C28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Vývoj úspěšnosti juniorských grantů podle oborů s počátkem řešení 2015–2019</w:t>
        </w:r>
        <w:r>
          <w:tab/>
        </w:r>
        <w:r>
          <w:fldChar w:fldCharType="begin"/>
        </w:r>
        <w:r>
          <w:instrText xml:space="preserve"> PAGEREF _Toc256000018 \h </w:instrText>
        </w:r>
        <w:r>
          <w:fldChar w:fldCharType="separate"/>
        </w:r>
        <w:r>
          <w:t>11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19" w:history="1">
        <w:r w:rsidRPr="00D06063">
          <w:rPr>
            <w:rStyle w:val="Hypertextovodkaz"/>
            <w:rFonts w:cs="Arial"/>
          </w:rPr>
          <w:t xml:space="preserve">Graf </w:t>
        </w:r>
        <w:r w:rsidR="00CA0F1B" w:rsidRPr="00D06063">
          <w:rPr>
            <w:rStyle w:val="Hypertextovodkaz"/>
            <w:rFonts w:cs="Arial"/>
          </w:rPr>
          <w:t>5</w:t>
        </w:r>
        <w:r w:rsidRPr="00D06063">
          <w:rPr>
            <w:rStyle w:val="Hypertextovodkaz"/>
            <w:rFonts w:cs="Arial"/>
          </w:rPr>
          <w:t xml:space="preserve"> </w:t>
        </w:r>
        <w:r w:rsidR="00B43C28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Vývoj průměrn</w:t>
        </w:r>
        <w:r w:rsidRPr="00D06063">
          <w:rPr>
            <w:rStyle w:val="Hypertextovodkaz"/>
            <w:rFonts w:cs="Arial"/>
          </w:rPr>
          <w:t>ých nákladů na 1. rok řešení (v tis. Kč) na financovaný juniorský projekt s počátkem řešení 2015–2019 podle oborů</w:t>
        </w:r>
        <w:r>
          <w:tab/>
        </w:r>
        <w:r>
          <w:fldChar w:fldCharType="begin"/>
        </w:r>
        <w:r>
          <w:instrText xml:space="preserve"> PAGEREF _Toc256000019 \h </w:instrText>
        </w:r>
        <w:r>
          <w:fldChar w:fldCharType="separate"/>
        </w:r>
        <w:r>
          <w:t>12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20" w:history="1">
        <w:r w:rsidRPr="00D06063">
          <w:rPr>
            <w:rStyle w:val="Hypertextovodkaz"/>
            <w:rFonts w:cs="Arial"/>
          </w:rPr>
          <w:t xml:space="preserve">Graf </w:t>
        </w:r>
        <w:r w:rsidR="00CA0F1B" w:rsidRPr="00D06063">
          <w:rPr>
            <w:rStyle w:val="Hypertextovodkaz"/>
            <w:rFonts w:cs="Arial"/>
          </w:rPr>
          <w:t>6</w:t>
        </w:r>
        <w:r w:rsidRPr="00D06063">
          <w:rPr>
            <w:rStyle w:val="Hypertextovodkaz"/>
            <w:rFonts w:cs="Arial"/>
          </w:rPr>
          <w:t xml:space="preserve"> </w:t>
        </w:r>
        <w:r w:rsidR="000A0F32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Pod</w:t>
        </w:r>
        <w:r w:rsidRPr="00D06063">
          <w:rPr>
            <w:rStyle w:val="Hypertextovodkaz"/>
            <w:rFonts w:cs="Arial"/>
          </w:rPr>
          <w:t>íl financovaných juniorských projektů s počátkem řešení 2015</w:t>
        </w:r>
        <w:r w:rsidR="000A0F32">
          <w:rPr>
            <w:rStyle w:val="Hypertextovodkaz"/>
            <w:rFonts w:cs="Arial"/>
          </w:rPr>
          <w:t>–</w:t>
        </w:r>
        <w:r w:rsidRPr="00D06063">
          <w:rPr>
            <w:rStyle w:val="Hypertextovodkaz"/>
            <w:rFonts w:cs="Arial"/>
          </w:rPr>
          <w:t>2019 podle příjemců</w:t>
        </w:r>
        <w:r>
          <w:tab/>
        </w:r>
        <w:r>
          <w:fldChar w:fldCharType="begin"/>
        </w:r>
        <w:r>
          <w:instrText xml:space="preserve"> PAGEREF _Toc256000020 \h </w:instrText>
        </w:r>
        <w:r>
          <w:fldChar w:fldCharType="separate"/>
        </w:r>
        <w:r>
          <w:t>13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21" w:history="1">
        <w:r w:rsidRPr="00D06063">
          <w:rPr>
            <w:rStyle w:val="Hypertextovodkaz"/>
            <w:rFonts w:cs="Arial"/>
          </w:rPr>
          <w:t xml:space="preserve">Graf 7 </w:t>
        </w:r>
        <w:r w:rsidR="00FF2679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 xml:space="preserve">Vývoj úspěšnosti juniorských grantů podle uchazečů s počátkem </w:t>
        </w:r>
        <w:r w:rsidR="00FF2679">
          <w:rPr>
            <w:rStyle w:val="Hypertextovodkaz"/>
            <w:rFonts w:cs="Arial"/>
          </w:rPr>
          <w:t xml:space="preserve"> </w:t>
        </w:r>
        <w:r w:rsidRPr="00D06063">
          <w:rPr>
            <w:rStyle w:val="Hypertextovodkaz"/>
            <w:rFonts w:cs="Arial"/>
          </w:rPr>
          <w:t>řešení 2015–2019</w:t>
        </w:r>
        <w:r>
          <w:tab/>
        </w:r>
        <w:r>
          <w:fldChar w:fldCharType="begin"/>
        </w:r>
        <w:r>
          <w:instrText xml:space="preserve"> PAGEREF _Toc256000021 \h </w:instrText>
        </w:r>
        <w:r>
          <w:fldChar w:fldCharType="separate"/>
        </w:r>
        <w:r>
          <w:t>14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22" w:history="1">
        <w:r w:rsidRPr="00D06063">
          <w:rPr>
            <w:rStyle w:val="Hypertextovodkaz"/>
            <w:rFonts w:cs="Arial"/>
          </w:rPr>
          <w:t xml:space="preserve">Graf </w:t>
        </w:r>
        <w:r w:rsidR="00CA0F1B" w:rsidRPr="00D06063">
          <w:rPr>
            <w:rStyle w:val="Hypertextovodkaz"/>
            <w:rFonts w:cs="Arial"/>
          </w:rPr>
          <w:t>8</w:t>
        </w:r>
        <w:r w:rsidRPr="00D06063">
          <w:rPr>
            <w:rStyle w:val="Hypertextovodkaz"/>
            <w:rFonts w:cs="Arial"/>
          </w:rPr>
          <w:t xml:space="preserve"> </w:t>
        </w:r>
        <w:r w:rsidR="0022498A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Průměrný úvazek připadající na rok na</w:t>
        </w:r>
        <w:r w:rsidRPr="00D06063">
          <w:rPr>
            <w:rStyle w:val="Hypertextovodkaz"/>
            <w:rFonts w:cs="Arial"/>
          </w:rPr>
          <w:t xml:space="preserve"> jeden financovaný juniorský projekt s</w:t>
        </w:r>
        <w:r w:rsidR="00975B1A">
          <w:rPr>
            <w:rStyle w:val="Hypertextovodkaz"/>
            <w:rFonts w:cs="Arial"/>
          </w:rPr>
          <w:t> </w:t>
        </w:r>
        <w:r w:rsidRPr="00D06063">
          <w:rPr>
            <w:rStyle w:val="Hypertextovodkaz"/>
            <w:rFonts w:cs="Arial"/>
          </w:rPr>
          <w:t>počátkem řešení 2015–2019 podle oborů</w:t>
        </w:r>
        <w:r>
          <w:tab/>
        </w:r>
        <w:r>
          <w:fldChar w:fldCharType="begin"/>
        </w:r>
        <w:r>
          <w:instrText xml:space="preserve"> PAGEREF _Toc256000022 \h </w:instrText>
        </w:r>
        <w:r>
          <w:fldChar w:fldCharType="separate"/>
        </w:r>
        <w:r>
          <w:t>15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23" w:history="1">
        <w:r w:rsidRPr="00D06063">
          <w:rPr>
            <w:rStyle w:val="Hypertextovodkaz"/>
            <w:rFonts w:cs="Arial"/>
          </w:rPr>
          <w:t xml:space="preserve">Graf </w:t>
        </w:r>
        <w:r w:rsidR="00CA0F1B" w:rsidRPr="00D06063">
          <w:rPr>
            <w:rStyle w:val="Hypertextovodkaz"/>
            <w:rFonts w:cs="Arial"/>
          </w:rPr>
          <w:t>9</w:t>
        </w:r>
        <w:r w:rsidRPr="00D06063">
          <w:rPr>
            <w:rStyle w:val="Hypertextovodkaz"/>
            <w:rFonts w:cs="Arial"/>
          </w:rPr>
          <w:t xml:space="preserve"> </w:t>
        </w:r>
        <w:r w:rsidR="001F4E53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Průměrný úvazek připadající na jeden uděl</w:t>
        </w:r>
        <w:r w:rsidRPr="00D06063">
          <w:rPr>
            <w:rStyle w:val="Hypertextovodkaz"/>
            <w:rFonts w:cs="Arial"/>
          </w:rPr>
          <w:t>ený juniorský grant s počátkem řešení 2015–2019 v jednotlivých letech podle oborů</w:t>
        </w:r>
        <w:r>
          <w:tab/>
        </w:r>
        <w:r>
          <w:fldChar w:fldCharType="begin"/>
        </w:r>
        <w:r>
          <w:instrText xml:space="preserve"> PAGEREF _Toc256000023 \h </w:instrText>
        </w:r>
        <w:r>
          <w:fldChar w:fldCharType="separate"/>
        </w:r>
        <w:r>
          <w:t>15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24" w:history="1">
        <w:r w:rsidRPr="00D06063">
          <w:rPr>
            <w:rStyle w:val="Hypertextovodkaz"/>
            <w:rFonts w:cs="Arial"/>
          </w:rPr>
          <w:t xml:space="preserve">Graf </w:t>
        </w:r>
        <w:r w:rsidR="00CA0F1B" w:rsidRPr="00D06063">
          <w:rPr>
            <w:rStyle w:val="Hypertextovodkaz"/>
            <w:rFonts w:cs="Arial"/>
          </w:rPr>
          <w:t>10</w:t>
        </w:r>
        <w:r w:rsidRPr="00D06063">
          <w:rPr>
            <w:rStyle w:val="Hypertextovodkaz"/>
            <w:rFonts w:cs="Arial"/>
          </w:rPr>
          <w:t xml:space="preserve"> </w:t>
        </w:r>
        <w:r w:rsidR="00316386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 xml:space="preserve">Celkový počet osob pracujících na </w:t>
        </w:r>
        <w:r w:rsidRPr="00D06063">
          <w:rPr>
            <w:rStyle w:val="Hypertextovodkaz"/>
            <w:rFonts w:cs="Arial"/>
          </w:rPr>
          <w:t>plný úvazek v juniorských grantech v</w:t>
        </w:r>
        <w:r w:rsidR="00316386">
          <w:rPr>
            <w:rStyle w:val="Hypertextovodkaz"/>
            <w:rFonts w:cs="Arial"/>
          </w:rPr>
          <w:t> </w:t>
        </w:r>
        <w:r w:rsidR="00316386" w:rsidRPr="00D06063">
          <w:rPr>
            <w:rStyle w:val="Hypertextovodkaz"/>
            <w:rFonts w:cs="Arial"/>
          </w:rPr>
          <w:t>letech</w:t>
        </w:r>
        <w:r w:rsidR="00316386">
          <w:rPr>
            <w:rStyle w:val="Hypertextovodkaz"/>
            <w:rFonts w:cs="Arial"/>
          </w:rPr>
          <w:t> </w:t>
        </w:r>
        <w:r w:rsidRPr="00D06063">
          <w:rPr>
            <w:rStyle w:val="Hypertextovodkaz"/>
            <w:rFonts w:cs="Arial"/>
          </w:rPr>
          <w:t>2015–2019</w:t>
        </w:r>
        <w:r>
          <w:tab/>
        </w:r>
        <w:r>
          <w:fldChar w:fldCharType="begin"/>
        </w:r>
        <w:r>
          <w:instrText xml:space="preserve"> PAGEREF _Toc256000024 \h </w:instrText>
        </w:r>
        <w:r>
          <w:fldChar w:fldCharType="separate"/>
        </w:r>
        <w:r>
          <w:t>16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25" w:history="1">
        <w:r w:rsidRPr="00D06063">
          <w:rPr>
            <w:rStyle w:val="Hypertextovodkaz"/>
            <w:rFonts w:cs="Arial"/>
          </w:rPr>
          <w:t xml:space="preserve">Graf </w:t>
        </w:r>
        <w:r w:rsidR="00CA0F1B" w:rsidRPr="00D06063">
          <w:rPr>
            <w:rStyle w:val="Hypertextovodkaz"/>
            <w:rFonts w:cs="Arial"/>
          </w:rPr>
          <w:t>11</w:t>
        </w:r>
        <w:r w:rsidR="00D22D7F">
          <w:rPr>
            <w:rStyle w:val="Hypertextovodkaz"/>
            <w:rFonts w:cs="Arial"/>
            <w:noProof/>
          </w:rPr>
          <w:t xml:space="preserve"> –</w:t>
        </w:r>
        <w:r w:rsidRPr="00D06063">
          <w:rPr>
            <w:rStyle w:val="Hypertextovodkaz"/>
            <w:rFonts w:cs="Arial"/>
          </w:rPr>
          <w:t xml:space="preserve"> Průměrný úvazek připadající na rok řešení na jeden financovaný juniorský projekt s počátkem řešení 2015–2019 podle příjemců</w:t>
        </w:r>
        <w:r>
          <w:tab/>
        </w:r>
        <w:r>
          <w:fldChar w:fldCharType="begin"/>
        </w:r>
        <w:r>
          <w:instrText xml:space="preserve"> PAGEREF _Toc256000025 \h </w:instrText>
        </w:r>
        <w:r>
          <w:fldChar w:fldCharType="separate"/>
        </w:r>
        <w:r>
          <w:t>16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26" w:history="1">
        <w:r w:rsidRPr="00D06063">
          <w:rPr>
            <w:rStyle w:val="Hypertextovodkaz"/>
            <w:rFonts w:cs="Arial"/>
          </w:rPr>
          <w:t>Gr</w:t>
        </w:r>
        <w:r w:rsidRPr="00D06063">
          <w:rPr>
            <w:rStyle w:val="Hypertextovodkaz"/>
            <w:rFonts w:cs="Arial"/>
          </w:rPr>
          <w:t xml:space="preserve">af </w:t>
        </w:r>
        <w:r w:rsidR="00CA0F1B" w:rsidRPr="00D06063">
          <w:rPr>
            <w:rStyle w:val="Hypertextovodkaz"/>
            <w:rFonts w:cs="Arial"/>
          </w:rPr>
          <w:t>12</w:t>
        </w:r>
        <w:r w:rsidRPr="00D06063">
          <w:rPr>
            <w:rStyle w:val="Hypertextovodkaz"/>
            <w:rFonts w:cs="Arial"/>
          </w:rPr>
          <w:t xml:space="preserve"> </w:t>
        </w:r>
        <w:r w:rsidR="00A4568B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Průměrný úvazek připadající na rok na jeden financovaný juniorský projekt s</w:t>
        </w:r>
        <w:r w:rsidR="00975B1A">
          <w:rPr>
            <w:rStyle w:val="Hypertextovodkaz"/>
            <w:rFonts w:cs="Arial"/>
          </w:rPr>
          <w:t> </w:t>
        </w:r>
        <w:r w:rsidRPr="00D06063">
          <w:rPr>
            <w:rStyle w:val="Hypertextovodkaz"/>
            <w:rFonts w:cs="Arial"/>
          </w:rPr>
          <w:t>počátkem řešení 2015–2019 podle krajů</w:t>
        </w:r>
        <w:r>
          <w:tab/>
        </w:r>
        <w:r>
          <w:fldChar w:fldCharType="begin"/>
        </w:r>
        <w:r>
          <w:instrText xml:space="preserve"> PAGEREF _Toc256000026 \h </w:instrText>
        </w:r>
        <w:r>
          <w:fldChar w:fldCharType="separate"/>
        </w:r>
        <w:r>
          <w:t>17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27" w:history="1">
        <w:r w:rsidRPr="00D06063">
          <w:rPr>
            <w:rStyle w:val="Hypertextovodkaz"/>
            <w:rFonts w:cs="Arial"/>
          </w:rPr>
          <w:t>Graf</w:t>
        </w:r>
        <w:r w:rsidRPr="00D06063">
          <w:rPr>
            <w:rStyle w:val="Hypertextovodkaz"/>
            <w:rFonts w:cs="Arial"/>
          </w:rPr>
          <w:t xml:space="preserve"> </w:t>
        </w:r>
        <w:r w:rsidR="00CA0F1B" w:rsidRPr="00D06063">
          <w:rPr>
            <w:rStyle w:val="Hypertextovodkaz"/>
            <w:rFonts w:cs="Arial"/>
          </w:rPr>
          <w:t>13</w:t>
        </w:r>
        <w:r w:rsidRPr="00D06063">
          <w:rPr>
            <w:rStyle w:val="Hypertextovodkaz"/>
            <w:rFonts w:cs="Arial"/>
          </w:rPr>
          <w:t xml:space="preserve"> </w:t>
        </w:r>
        <w:r w:rsidR="00A5504F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 xml:space="preserve">Podíl žen v roli navrhovatele a řešitele juniorských projektů s počátkem </w:t>
        </w:r>
        <w:r w:rsidR="00A5504F" w:rsidRPr="00D06063">
          <w:rPr>
            <w:rStyle w:val="Hypertextovodkaz"/>
            <w:rFonts w:cs="Arial"/>
          </w:rPr>
          <w:t>řešení</w:t>
        </w:r>
        <w:r w:rsidR="00A5504F">
          <w:rPr>
            <w:rStyle w:val="Hypertextovodkaz"/>
            <w:rFonts w:cs="Arial"/>
          </w:rPr>
          <w:t> </w:t>
        </w:r>
        <w:r w:rsidRPr="00D06063">
          <w:rPr>
            <w:rStyle w:val="Hypertextovodkaz"/>
            <w:rFonts w:cs="Arial"/>
          </w:rPr>
          <w:t>2015–2019</w:t>
        </w:r>
        <w:r>
          <w:tab/>
        </w:r>
        <w:r>
          <w:fldChar w:fldCharType="begin"/>
        </w:r>
        <w:r>
          <w:instrText xml:space="preserve"> PAGEREF _Toc256000027 \h </w:instrText>
        </w:r>
        <w:r>
          <w:fldChar w:fldCharType="separate"/>
        </w:r>
        <w:r>
          <w:t>17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28" w:history="1">
        <w:r w:rsidRPr="00D06063">
          <w:rPr>
            <w:rStyle w:val="Hypertextovodkaz"/>
            <w:rFonts w:cs="Arial"/>
          </w:rPr>
          <w:t xml:space="preserve">Graf </w:t>
        </w:r>
        <w:r w:rsidR="00CA0F1B" w:rsidRPr="00D06063">
          <w:rPr>
            <w:rStyle w:val="Hypertextovodkaz"/>
            <w:rFonts w:cs="Arial"/>
          </w:rPr>
          <w:t>14</w:t>
        </w:r>
        <w:r w:rsidRPr="00D06063">
          <w:rPr>
            <w:rStyle w:val="Hypertextovodkaz"/>
            <w:rFonts w:cs="Arial"/>
          </w:rPr>
          <w:t xml:space="preserve"> </w:t>
        </w:r>
        <w:r w:rsidR="009B596F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Úspěšnost žen junior</w:t>
        </w:r>
        <w:r w:rsidRPr="00D06063">
          <w:rPr>
            <w:rStyle w:val="Hypertextovodkaz"/>
            <w:rFonts w:cs="Arial"/>
          </w:rPr>
          <w:t>ských projektů s počátkem řešení 2015–2019</w:t>
        </w:r>
        <w:r>
          <w:tab/>
        </w:r>
        <w:r>
          <w:fldChar w:fldCharType="begin"/>
        </w:r>
        <w:r>
          <w:instrText xml:space="preserve"> PAGEREF _Toc256000028 \h </w:instrText>
        </w:r>
        <w:r>
          <w:fldChar w:fldCharType="separate"/>
        </w:r>
        <w:r>
          <w:t>18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29" w:history="1">
        <w:r w:rsidRPr="00D06063">
          <w:rPr>
            <w:rStyle w:val="Hypertextovodkaz"/>
            <w:rFonts w:cs="Arial"/>
          </w:rPr>
          <w:t xml:space="preserve">Graf </w:t>
        </w:r>
        <w:r w:rsidR="00CA0F1B" w:rsidRPr="00D06063">
          <w:rPr>
            <w:rStyle w:val="Hypertextovodkaz"/>
            <w:rFonts w:cs="Arial"/>
          </w:rPr>
          <w:t>15</w:t>
        </w:r>
        <w:r w:rsidRPr="00D06063">
          <w:rPr>
            <w:rStyle w:val="Hypertextovodkaz"/>
            <w:rFonts w:cs="Arial"/>
          </w:rPr>
          <w:t xml:space="preserve"> </w:t>
        </w:r>
        <w:r w:rsidR="00E75D66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Vytvoření nové vědecké skupiny v juniorských grantech</w:t>
        </w:r>
        <w:r>
          <w:tab/>
        </w:r>
        <w:r>
          <w:fldChar w:fldCharType="begin"/>
        </w:r>
        <w:r>
          <w:instrText xml:space="preserve"> PAGEREF _Toc256000029 \h </w:instrText>
        </w:r>
        <w:r>
          <w:fldChar w:fldCharType="separate"/>
        </w:r>
        <w:r>
          <w:t>18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30" w:history="1">
        <w:r w:rsidRPr="00D06063">
          <w:rPr>
            <w:rStyle w:val="Hypertextovodkaz"/>
            <w:rFonts w:cs="Arial"/>
          </w:rPr>
          <w:t xml:space="preserve">Graf </w:t>
        </w:r>
        <w:r w:rsidR="00D54156" w:rsidRPr="00D06063">
          <w:rPr>
            <w:rStyle w:val="Hypertextovodkaz"/>
            <w:rFonts w:cs="Arial"/>
          </w:rPr>
          <w:t>16</w:t>
        </w:r>
        <w:r w:rsidRPr="00D06063">
          <w:rPr>
            <w:rStyle w:val="Hypertextovodkaz"/>
            <w:rFonts w:cs="Arial"/>
          </w:rPr>
          <w:t xml:space="preserve"> </w:t>
        </w:r>
        <w:r w:rsidR="00E75D66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Vytvoření nové vědecké skupiny v juniorských grantech podle oborů</w:t>
        </w:r>
        <w:r>
          <w:tab/>
        </w:r>
        <w:r>
          <w:fldChar w:fldCharType="begin"/>
        </w:r>
        <w:r>
          <w:instrText xml:space="preserve"> PAGEREF _Toc256000030 \h </w:instrText>
        </w:r>
        <w:r>
          <w:fldChar w:fldCharType="separate"/>
        </w:r>
        <w:r>
          <w:t>19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31" w:history="1">
        <w:r w:rsidRPr="00D06063">
          <w:rPr>
            <w:rStyle w:val="Hypertextovodkaz"/>
            <w:rFonts w:cs="Arial"/>
          </w:rPr>
          <w:t xml:space="preserve">Graf 17 </w:t>
        </w:r>
        <w:r w:rsidR="002844A0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 xml:space="preserve">Počty podaných a udělených Starting Grants ERC projektů v ČR </w:t>
        </w:r>
        <w:r w:rsidR="002844A0">
          <w:rPr>
            <w:rStyle w:val="Hypertextovodkaz"/>
            <w:rFonts w:cs="Arial"/>
          </w:rPr>
          <w:t xml:space="preserve"> </w:t>
        </w:r>
        <w:r w:rsidRPr="00D06063">
          <w:rPr>
            <w:rStyle w:val="Hypertextovodkaz"/>
            <w:rFonts w:cs="Arial"/>
          </w:rPr>
          <w:t>v letech 2007</w:t>
        </w:r>
        <w:r w:rsidR="002844A0">
          <w:rPr>
            <w:rStyle w:val="Hypertextovodkaz"/>
            <w:rFonts w:cs="Arial"/>
          </w:rPr>
          <w:t>–</w:t>
        </w:r>
        <w:r w:rsidRPr="00D06063">
          <w:rPr>
            <w:rStyle w:val="Hypertextovodkaz"/>
            <w:rFonts w:cs="Arial"/>
          </w:rPr>
          <w:t>2018</w:t>
        </w:r>
        <w:r>
          <w:tab/>
        </w:r>
        <w:r>
          <w:fldChar w:fldCharType="begin"/>
        </w:r>
        <w:r>
          <w:instrText xml:space="preserve"> PAGEREF _Toc256000031 \h </w:instrText>
        </w:r>
        <w:r>
          <w:fldChar w:fldCharType="separate"/>
        </w:r>
        <w:r>
          <w:t>20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32" w:history="1">
        <w:r w:rsidRPr="00D06063">
          <w:rPr>
            <w:rStyle w:val="Hypertextovodkaz"/>
            <w:rFonts w:cs="Arial"/>
          </w:rPr>
          <w:t xml:space="preserve">Graf 18 </w:t>
        </w:r>
        <w:r w:rsidR="00B13410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Podíl podaných a udělených Starting Grants ERC projektů v ČR podle oborů za období 2007</w:t>
        </w:r>
        <w:r w:rsidR="000E4591">
          <w:rPr>
            <w:rStyle w:val="Hypertextovodkaz"/>
            <w:rFonts w:cs="Arial"/>
          </w:rPr>
          <w:t>–</w:t>
        </w:r>
        <w:r w:rsidRPr="00D06063">
          <w:rPr>
            <w:rStyle w:val="Hypertextovodkaz"/>
            <w:rFonts w:cs="Arial"/>
          </w:rPr>
          <w:t>2018</w:t>
        </w:r>
        <w:r>
          <w:tab/>
        </w:r>
        <w:r>
          <w:fldChar w:fldCharType="begin"/>
        </w:r>
        <w:r>
          <w:instrText xml:space="preserve"> PAGEREF _Toc256000032 \h </w:instrText>
        </w:r>
        <w:r>
          <w:fldChar w:fldCharType="separate"/>
        </w:r>
        <w:r>
          <w:t>20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33" w:history="1">
        <w:r w:rsidRPr="00D06063">
          <w:rPr>
            <w:rStyle w:val="Hypertextovodkaz"/>
            <w:rFonts w:cs="Arial"/>
          </w:rPr>
          <w:t xml:space="preserve">Graf 19 </w:t>
        </w:r>
        <w:r w:rsidR="00B70530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Struktura celkového hodnocení ukončených juniorských projektů</w:t>
        </w:r>
        <w:r>
          <w:tab/>
        </w:r>
        <w:r>
          <w:fldChar w:fldCharType="begin"/>
        </w:r>
        <w:r>
          <w:instrText xml:space="preserve"> PAGEREF _Toc256000033 \h </w:instrText>
        </w:r>
        <w:r>
          <w:fldChar w:fldCharType="separate"/>
        </w:r>
        <w:r>
          <w:t>21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34" w:history="1">
        <w:r w:rsidRPr="00D06063">
          <w:rPr>
            <w:rStyle w:val="Hypertextovodkaz"/>
            <w:rFonts w:cs="Arial"/>
          </w:rPr>
          <w:t xml:space="preserve">Graf 20 </w:t>
        </w:r>
        <w:r w:rsidR="00B70530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 xml:space="preserve">Hodnocení ukončených </w:t>
        </w:r>
        <w:r w:rsidRPr="00D06063">
          <w:rPr>
            <w:rStyle w:val="Hypertextovodkaz"/>
            <w:rFonts w:cs="Arial"/>
          </w:rPr>
          <w:t>juniorských projektů podle oborových komisí</w:t>
        </w:r>
        <w:r>
          <w:tab/>
        </w:r>
        <w:r>
          <w:fldChar w:fldCharType="begin"/>
        </w:r>
        <w:r>
          <w:instrText xml:space="preserve"> PAGEREF _Toc256000034 \h </w:instrText>
        </w:r>
        <w:r>
          <w:fldChar w:fldCharType="separate"/>
        </w:r>
        <w:r>
          <w:t>21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35" w:history="1">
        <w:r w:rsidRPr="00D06063">
          <w:rPr>
            <w:rStyle w:val="Hypertextovodkaz"/>
            <w:rFonts w:cs="Arial"/>
          </w:rPr>
          <w:t xml:space="preserve">Graf 21 </w:t>
        </w:r>
        <w:r w:rsidR="00EB1A45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Podíl impaktovaných článků: přepočtený počet článků v impaktovaném časop</w:t>
        </w:r>
        <w:r w:rsidRPr="00D06063">
          <w:rPr>
            <w:rStyle w:val="Hypertextovodkaz"/>
            <w:rFonts w:cs="Arial"/>
          </w:rPr>
          <w:t xml:space="preserve">ise </w:t>
        </w:r>
        <w:r w:rsidR="001A1D6F">
          <w:rPr>
            <w:rStyle w:val="Hypertextovodkaz"/>
            <w:rFonts w:cs="Arial"/>
          </w:rPr>
          <w:t>v poměru k</w:t>
        </w:r>
        <w:r w:rsidRPr="00D06063">
          <w:rPr>
            <w:rStyle w:val="Hypertextovodkaz"/>
            <w:rFonts w:cs="Arial"/>
          </w:rPr>
          <w:t xml:space="preserve"> přepočtenému počtu článků v odborném periodiku</w:t>
        </w:r>
        <w:r>
          <w:tab/>
        </w:r>
        <w:r>
          <w:fldChar w:fldCharType="begin"/>
        </w:r>
        <w:r>
          <w:instrText xml:space="preserve"> PAGEREF _Toc256000035 \h </w:instrText>
        </w:r>
        <w:r>
          <w:fldChar w:fldCharType="separate"/>
        </w:r>
        <w:r>
          <w:t>22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36" w:history="1">
        <w:r w:rsidRPr="00D06063">
          <w:rPr>
            <w:rStyle w:val="Hypertextovodkaz"/>
            <w:rFonts w:cs="Arial"/>
          </w:rPr>
          <w:t xml:space="preserve">Graf 22 </w:t>
        </w:r>
        <w:r w:rsidR="00FF2D5F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 xml:space="preserve">Podíl impaktovaných článků z lepší poloviny časopisů: </w:t>
        </w:r>
        <w:r w:rsidRPr="00D06063">
          <w:rPr>
            <w:rStyle w:val="Hypertextovodkaz"/>
            <w:rFonts w:cs="Arial"/>
          </w:rPr>
          <w:t xml:space="preserve">přepočtený počet článků v impaktovaném časopise s impaktním faktorem nad mediánem oborové kategorie časopisu </w:t>
        </w:r>
        <w:r w:rsidR="001A1D6F">
          <w:rPr>
            <w:rStyle w:val="Hypertextovodkaz"/>
            <w:rFonts w:cs="Arial"/>
          </w:rPr>
          <w:t xml:space="preserve">v poměru k </w:t>
        </w:r>
        <w:r w:rsidRPr="00D06063">
          <w:rPr>
            <w:rStyle w:val="Hypertextovodkaz"/>
            <w:rFonts w:cs="Arial"/>
          </w:rPr>
          <w:t>přepočtenému počtu článků v impaktovaném časopise</w:t>
        </w:r>
        <w:r>
          <w:tab/>
        </w:r>
        <w:r>
          <w:fldChar w:fldCharType="begin"/>
        </w:r>
        <w:r>
          <w:instrText xml:space="preserve"> PAGEREF _Toc256000036 \h </w:instrText>
        </w:r>
        <w:r>
          <w:fldChar w:fldCharType="separate"/>
        </w:r>
        <w:r>
          <w:t>23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37" w:history="1">
        <w:r w:rsidRPr="00D06063">
          <w:rPr>
            <w:rStyle w:val="Hypertextovodkaz"/>
            <w:rFonts w:cs="Arial"/>
          </w:rPr>
          <w:t xml:space="preserve">Graf 23 </w:t>
        </w:r>
        <w:r w:rsidR="00FF2D5F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 xml:space="preserve">Podíl impaktovaných článků z nejlepší desetiny časopisů: přepočtený počet článků v impaktovaném časopise s impaktním faktorem nad devátým decilem impaktních faktorů časopisů v oborové kategorii </w:t>
        </w:r>
        <w:r w:rsidR="001A1D6F">
          <w:rPr>
            <w:rStyle w:val="Hypertextovodkaz"/>
            <w:rFonts w:cs="Arial"/>
          </w:rPr>
          <w:t>v poměru k</w:t>
        </w:r>
        <w:r w:rsidRPr="00D06063">
          <w:rPr>
            <w:rStyle w:val="Hypertextovodkaz"/>
            <w:rFonts w:cs="Arial"/>
          </w:rPr>
          <w:t xml:space="preserve"> přepočtenému počtu článků </w:t>
        </w:r>
        <w:r w:rsidR="00FF2D5F" w:rsidRPr="00D06063">
          <w:rPr>
            <w:rStyle w:val="Hypertextovodkaz"/>
            <w:rFonts w:cs="Arial"/>
          </w:rPr>
          <w:t>v</w:t>
        </w:r>
        <w:r w:rsidR="00FF2D5F">
          <w:rPr>
            <w:rStyle w:val="Hypertextovodkaz"/>
            <w:rFonts w:cs="Arial"/>
          </w:rPr>
          <w:t> </w:t>
        </w:r>
        <w:r w:rsidRPr="00D06063">
          <w:rPr>
            <w:rStyle w:val="Hypertextovodkaz"/>
            <w:rFonts w:cs="Arial"/>
          </w:rPr>
          <w:t>impaktovaném časopise</w:t>
        </w:r>
        <w:r>
          <w:tab/>
        </w:r>
        <w:r>
          <w:fldChar w:fldCharType="begin"/>
        </w:r>
        <w:r>
          <w:instrText xml:space="preserve"> PAGEREF _Toc256000037 \h </w:instrText>
        </w:r>
        <w:r>
          <w:fldChar w:fldCharType="separate"/>
        </w:r>
        <w:r>
          <w:t>24</w:t>
        </w:r>
        <w:r>
          <w:fldChar w:fldCharType="end"/>
        </w:r>
      </w:hyperlink>
    </w:p>
    <w:p w:rsidR="00D7090E" w:rsidRPr="00D06063" w:rsidRDefault="00216728" w:rsidP="007B0CD3">
      <w:pPr>
        <w:spacing w:after="240"/>
        <w:jc w:val="left"/>
        <w:rPr>
          <w:rFonts w:cs="Arial"/>
        </w:rPr>
      </w:pPr>
      <w:r w:rsidRPr="00D06063">
        <w:rPr>
          <w:rFonts w:cs="Arial"/>
        </w:rPr>
        <w:fldChar w:fldCharType="end"/>
      </w:r>
    </w:p>
    <w:p w:rsidR="007E7AE1" w:rsidRPr="00D06063" w:rsidRDefault="00216728">
      <w:pPr>
        <w:jc w:val="left"/>
        <w:rPr>
          <w:rFonts w:cs="Arial"/>
        </w:rPr>
      </w:pPr>
      <w:r w:rsidRPr="00D06063">
        <w:rPr>
          <w:rFonts w:cs="Arial"/>
        </w:rPr>
        <w:br w:type="page"/>
      </w:r>
    </w:p>
    <w:p w:rsidR="007E7AE1" w:rsidRPr="00D06063" w:rsidRDefault="00216728" w:rsidP="007E7AE1">
      <w:pPr>
        <w:pStyle w:val="Nadpisobsahu"/>
        <w:rPr>
          <w:rFonts w:cs="Arial"/>
        </w:rPr>
      </w:pPr>
      <w:r w:rsidRPr="00D06063">
        <w:rPr>
          <w:rFonts w:cs="Arial"/>
        </w:rPr>
        <w:t>Seznam tabulek</w:t>
      </w:r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r w:rsidRPr="00D06063">
        <w:rPr>
          <w:rFonts w:cs="Arial"/>
        </w:rPr>
        <w:fldChar w:fldCharType="begin"/>
      </w:r>
      <w:r w:rsidRPr="00D06063">
        <w:rPr>
          <w:rFonts w:cs="Arial"/>
        </w:rPr>
        <w:instrText xml:space="preserve"> TOC \h \z \c "Tabulka" </w:instrText>
      </w:r>
      <w:r w:rsidRPr="00D06063">
        <w:rPr>
          <w:rFonts w:cs="Arial"/>
        </w:rPr>
        <w:fldChar w:fldCharType="separate"/>
      </w:r>
      <w:hyperlink w:anchor="_Toc256000038" w:history="1">
        <w:r w:rsidRPr="00D06063">
          <w:rPr>
            <w:rStyle w:val="Hypertextovodkaz"/>
            <w:rFonts w:cs="Arial"/>
          </w:rPr>
          <w:t xml:space="preserve">Tabulka </w:t>
        </w:r>
        <w:r w:rsidR="00CA0F1B" w:rsidRPr="00D06063">
          <w:rPr>
            <w:rStyle w:val="Hypertextovodkaz"/>
            <w:rFonts w:cs="Arial"/>
          </w:rPr>
          <w:t>1</w:t>
        </w:r>
        <w:r w:rsidRPr="00D06063">
          <w:rPr>
            <w:rStyle w:val="Hypertextovodkaz"/>
            <w:rFonts w:cs="Arial"/>
          </w:rPr>
          <w:t xml:space="preserve"> </w:t>
        </w:r>
        <w:r w:rsidR="002C3B7C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Podíl skutečných výdajů státního rozpočtu na VaV v ČR podle poskytovatelů za období 2013–2017</w:t>
        </w:r>
        <w:r>
          <w:tab/>
        </w:r>
        <w:r>
          <w:fldChar w:fldCharType="begin"/>
        </w:r>
        <w:r>
          <w:instrText xml:space="preserve"> PAGEREF _Toc256000038 \h 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39" w:history="1">
        <w:r w:rsidRPr="00D06063">
          <w:rPr>
            <w:rStyle w:val="Hypertextovodkaz"/>
            <w:rFonts w:cs="Arial"/>
          </w:rPr>
          <w:t xml:space="preserve">Tabulka </w:t>
        </w:r>
        <w:r w:rsidR="00CA0F1B" w:rsidRPr="00D06063">
          <w:rPr>
            <w:rStyle w:val="Hypertextovodkaz"/>
            <w:rFonts w:cs="Arial"/>
          </w:rPr>
          <w:t>2</w:t>
        </w:r>
        <w:r w:rsidRPr="00D06063">
          <w:rPr>
            <w:rStyle w:val="Hypertextovodkaz"/>
            <w:rFonts w:cs="Arial"/>
          </w:rPr>
          <w:t xml:space="preserve"> </w:t>
        </w:r>
        <w:r w:rsidR="004C1106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Struktura účelové podp</w:t>
        </w:r>
        <w:r w:rsidRPr="00D06063">
          <w:rPr>
            <w:rStyle w:val="Hypertextovodkaz"/>
            <w:rFonts w:cs="Arial"/>
          </w:rPr>
          <w:t>ory GA ČR podle skupin grantových projektů za období 2007</w:t>
        </w:r>
        <w:r w:rsidR="00A33F0F">
          <w:rPr>
            <w:rStyle w:val="Hypertextovodkaz"/>
            <w:rFonts w:cs="Arial"/>
          </w:rPr>
          <w:t>–</w:t>
        </w:r>
        <w:r w:rsidRPr="00D06063">
          <w:rPr>
            <w:rStyle w:val="Hypertextovodkaz"/>
            <w:rFonts w:cs="Arial"/>
          </w:rPr>
          <w:t>2017</w:t>
        </w:r>
        <w:r>
          <w:tab/>
        </w:r>
        <w:r>
          <w:fldChar w:fldCharType="begin"/>
        </w:r>
        <w:r>
          <w:instrText xml:space="preserve"> PAGEREF _Toc256000039 \h </w:instrText>
        </w:r>
        <w:r>
          <w:fldChar w:fldCharType="separate"/>
        </w:r>
        <w:r>
          <w:t>9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40" w:history="1">
        <w:r w:rsidRPr="00D06063">
          <w:rPr>
            <w:rStyle w:val="Hypertextovodkaz"/>
            <w:rFonts w:cs="Arial"/>
          </w:rPr>
          <w:t xml:space="preserve">Tabulka </w:t>
        </w:r>
        <w:r w:rsidR="00CA0F1B" w:rsidRPr="00D06063">
          <w:rPr>
            <w:rStyle w:val="Hypertextovodkaz"/>
            <w:rFonts w:cs="Arial"/>
          </w:rPr>
          <w:t>3</w:t>
        </w:r>
        <w:r w:rsidRPr="00D06063">
          <w:rPr>
            <w:rStyle w:val="Hypertextovodkaz"/>
            <w:rFonts w:cs="Arial"/>
          </w:rPr>
          <w:t xml:space="preserve"> </w:t>
        </w:r>
        <w:r w:rsidR="006C6134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Juniorské granty s počátkem řešení 2015</w:t>
        </w:r>
        <w:r w:rsidR="006C6134">
          <w:rPr>
            <w:rStyle w:val="Hypertextovodkaz"/>
            <w:rFonts w:cs="Arial"/>
          </w:rPr>
          <w:t>–</w:t>
        </w:r>
        <w:r w:rsidRPr="00D06063">
          <w:rPr>
            <w:rStyle w:val="Hypertextovodkaz"/>
            <w:rFonts w:cs="Arial"/>
          </w:rPr>
          <w:t>2019</w:t>
        </w:r>
        <w:r>
          <w:tab/>
        </w:r>
        <w:r>
          <w:fldChar w:fldCharType="begin"/>
        </w:r>
        <w:r>
          <w:instrText xml:space="preserve"> PAGERE</w:instrText>
        </w:r>
        <w:r>
          <w:instrText xml:space="preserve">F _Toc256000040 \h </w:instrText>
        </w:r>
        <w:r>
          <w:fldChar w:fldCharType="separate"/>
        </w:r>
        <w:r>
          <w:t>10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41" w:history="1">
        <w:r w:rsidRPr="00D06063">
          <w:rPr>
            <w:rStyle w:val="Hypertextovodkaz"/>
            <w:rFonts w:cs="Arial"/>
          </w:rPr>
          <w:t xml:space="preserve">Tabulka </w:t>
        </w:r>
        <w:r w:rsidR="00CA0F1B" w:rsidRPr="00D06063">
          <w:rPr>
            <w:rStyle w:val="Hypertextovodkaz"/>
            <w:rFonts w:cs="Arial"/>
          </w:rPr>
          <w:t>4</w:t>
        </w:r>
        <w:r w:rsidRPr="00D06063">
          <w:rPr>
            <w:rStyle w:val="Hypertextovodkaz"/>
            <w:rFonts w:cs="Arial"/>
          </w:rPr>
          <w:t xml:space="preserve"> </w:t>
        </w:r>
        <w:r w:rsidR="00257EA5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Vývoj počtu hodnocených a financovaných juniorských grantů podle oborů s počátkem řešení 2015</w:t>
        </w:r>
        <w:r w:rsidR="00257EA5">
          <w:rPr>
            <w:rStyle w:val="Hypertextovodkaz"/>
            <w:rFonts w:cs="Arial"/>
          </w:rPr>
          <w:t>–</w:t>
        </w:r>
        <w:r w:rsidRPr="00D06063">
          <w:rPr>
            <w:rStyle w:val="Hypertextovodkaz"/>
            <w:rFonts w:cs="Arial"/>
          </w:rPr>
          <w:t>2019</w:t>
        </w:r>
        <w:r>
          <w:tab/>
        </w:r>
        <w:r>
          <w:fldChar w:fldCharType="begin"/>
        </w:r>
        <w:r>
          <w:instrText xml:space="preserve"> PAGEREF _Toc256000041 \h </w:instrText>
        </w:r>
        <w:r>
          <w:fldChar w:fldCharType="separate"/>
        </w:r>
        <w:r>
          <w:t>11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42" w:history="1">
        <w:r w:rsidRPr="00D06063">
          <w:rPr>
            <w:rStyle w:val="Hypertextovodkaz"/>
            <w:rFonts w:cs="Arial"/>
          </w:rPr>
          <w:t xml:space="preserve">Tabulka </w:t>
        </w:r>
        <w:r w:rsidR="00CA0F1B" w:rsidRPr="00D06063">
          <w:rPr>
            <w:rStyle w:val="Hypertextovodkaz"/>
            <w:rFonts w:cs="Arial"/>
          </w:rPr>
          <w:t>5</w:t>
        </w:r>
        <w:r w:rsidRPr="00D06063">
          <w:rPr>
            <w:rStyle w:val="Hypertextovodkaz"/>
            <w:rFonts w:cs="Arial"/>
          </w:rPr>
          <w:t xml:space="preserve"> </w:t>
        </w:r>
        <w:r w:rsidR="00B43C28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Průměrné náklady na celou dobu řešení na 3letý financovaný juniorský projekt za období 2015–2019 podle oborů</w:t>
        </w:r>
        <w:r>
          <w:tab/>
        </w:r>
        <w:r>
          <w:fldChar w:fldCharType="begin"/>
        </w:r>
        <w:r>
          <w:instrText xml:space="preserve"> PAGE</w:instrText>
        </w:r>
        <w:r>
          <w:instrText xml:space="preserve">REF _Toc256000042 \h </w:instrText>
        </w:r>
        <w:r>
          <w:fldChar w:fldCharType="separate"/>
        </w:r>
        <w:r>
          <w:t>12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43" w:history="1">
        <w:r w:rsidRPr="00D06063">
          <w:rPr>
            <w:rStyle w:val="Hypertextovodkaz"/>
            <w:rFonts w:cs="Arial"/>
          </w:rPr>
          <w:t xml:space="preserve">Tabulka </w:t>
        </w:r>
        <w:r w:rsidR="00CA0F1B" w:rsidRPr="00D06063">
          <w:rPr>
            <w:rStyle w:val="Hypertextovodkaz"/>
            <w:rFonts w:cs="Arial"/>
          </w:rPr>
          <w:t>6</w:t>
        </w:r>
        <w:r w:rsidRPr="00D06063">
          <w:rPr>
            <w:rStyle w:val="Hypertextovodkaz"/>
            <w:rFonts w:cs="Arial"/>
          </w:rPr>
          <w:t xml:space="preserve"> </w:t>
        </w:r>
        <w:r w:rsidR="001D3653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Vývoj počtu hodnocených a financovaných juniorských grantů podle uchazečů s počátkem řešení 2015</w:t>
        </w:r>
        <w:r w:rsidR="00A33F0F">
          <w:rPr>
            <w:rStyle w:val="Hypertextovodkaz"/>
            <w:rFonts w:cs="Arial"/>
          </w:rPr>
          <w:t>–</w:t>
        </w:r>
        <w:r w:rsidRPr="00D06063">
          <w:rPr>
            <w:rStyle w:val="Hypertextovodkaz"/>
            <w:rFonts w:cs="Arial"/>
          </w:rPr>
          <w:t>2019</w:t>
        </w:r>
        <w:r>
          <w:tab/>
        </w:r>
        <w:r>
          <w:fldChar w:fldCharType="begin"/>
        </w:r>
        <w:r>
          <w:instrText xml:space="preserve"> PAGEREF _Toc25600</w:instrText>
        </w:r>
        <w:r>
          <w:instrText xml:space="preserve">0043 \h </w:instrText>
        </w:r>
        <w:r>
          <w:fldChar w:fldCharType="separate"/>
        </w:r>
        <w:r>
          <w:t>13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44" w:history="1">
        <w:r w:rsidRPr="00D06063">
          <w:rPr>
            <w:rStyle w:val="Hypertextovodkaz"/>
            <w:rFonts w:cs="Arial"/>
          </w:rPr>
          <w:t xml:space="preserve">Tabulka </w:t>
        </w:r>
        <w:r w:rsidR="00CA0F1B" w:rsidRPr="00D06063">
          <w:rPr>
            <w:rStyle w:val="Hypertextovodkaz"/>
            <w:rFonts w:cs="Arial"/>
          </w:rPr>
          <w:t>7</w:t>
        </w:r>
        <w:r w:rsidRPr="00D06063">
          <w:rPr>
            <w:rStyle w:val="Hypertextovodkaz"/>
            <w:rFonts w:cs="Arial"/>
          </w:rPr>
          <w:t xml:space="preserve"> </w:t>
        </w:r>
        <w:r w:rsidR="00FF2679">
          <w:rPr>
            <w:rStyle w:val="Hypertextovodkaz"/>
            <w:rFonts w:cs="Arial"/>
          </w:rPr>
          <w:t xml:space="preserve">– </w:t>
        </w:r>
        <w:r w:rsidRPr="00D06063">
          <w:rPr>
            <w:rStyle w:val="Hypertextovodkaz"/>
            <w:rFonts w:cs="Arial"/>
          </w:rPr>
          <w:t>Průměrné náklady na 1. rok řešení a na celou dobu řešení na 3letý financovaný juniorský projekt za období 2015–2019 podle příjemců</w:t>
        </w:r>
        <w:r>
          <w:tab/>
        </w:r>
        <w:r>
          <w:fldChar w:fldCharType="begin"/>
        </w:r>
        <w:r>
          <w:instrText xml:space="preserve"> </w:instrText>
        </w:r>
        <w:r>
          <w:instrText xml:space="preserve">PAGEREF _Toc256000044 \h </w:instrText>
        </w:r>
        <w:r>
          <w:fldChar w:fldCharType="separate"/>
        </w:r>
        <w:r>
          <w:t>14</w:t>
        </w:r>
        <w:r>
          <w:fldChar w:fldCharType="end"/>
        </w:r>
      </w:hyperlink>
    </w:p>
    <w:p w:rsidR="00D7090E" w:rsidRDefault="00216728">
      <w:pPr>
        <w:pStyle w:val="Seznamobrzk"/>
        <w:tabs>
          <w:tab w:val="right" w:leader="dot" w:pos="9062"/>
        </w:tabs>
        <w:rPr>
          <w:rFonts w:asciiTheme="minorHAnsi" w:hAnsiTheme="minorHAnsi"/>
          <w:noProof/>
        </w:rPr>
      </w:pPr>
      <w:hyperlink w:anchor="_Toc256000045" w:history="1">
        <w:r w:rsidRPr="00D06063">
          <w:rPr>
            <w:rStyle w:val="Hypertextovodkaz"/>
            <w:rFonts w:cs="Arial"/>
          </w:rPr>
          <w:t>Tabulka 8</w:t>
        </w:r>
        <w:r w:rsidR="00617058">
          <w:rPr>
            <w:rStyle w:val="Hypertextovodkaz"/>
            <w:rFonts w:cs="Arial"/>
          </w:rPr>
          <w:t xml:space="preserve"> –</w:t>
        </w:r>
        <w:r w:rsidRPr="00D06063">
          <w:rPr>
            <w:rStyle w:val="Hypertextovodkaz"/>
            <w:rFonts w:cs="Arial"/>
          </w:rPr>
          <w:t xml:space="preserve"> Starting Grants v letech 2007</w:t>
        </w:r>
        <w:r w:rsidR="006208C1">
          <w:rPr>
            <w:rStyle w:val="Hypertextovodkaz"/>
            <w:rFonts w:cs="Arial"/>
          </w:rPr>
          <w:t>–</w:t>
        </w:r>
        <w:r w:rsidRPr="00D06063">
          <w:rPr>
            <w:rStyle w:val="Hypertextovodkaz"/>
            <w:rFonts w:cs="Arial"/>
          </w:rPr>
          <w:t>2018</w:t>
        </w:r>
        <w:r>
          <w:tab/>
        </w:r>
        <w:r>
          <w:fldChar w:fldCharType="begin"/>
        </w:r>
        <w:r>
          <w:instrText xml:space="preserve"> PAGEREF _Toc256000045 \h </w:instrText>
        </w:r>
        <w:r>
          <w:fldChar w:fldCharType="separate"/>
        </w:r>
        <w:r>
          <w:t>19</w:t>
        </w:r>
        <w:r>
          <w:fldChar w:fldCharType="end"/>
        </w:r>
      </w:hyperlink>
    </w:p>
    <w:p w:rsidR="00D7090E" w:rsidRPr="00D06063" w:rsidRDefault="00216728">
      <w:pPr>
        <w:jc w:val="left"/>
        <w:rPr>
          <w:rFonts w:cs="Arial"/>
        </w:rPr>
      </w:pPr>
      <w:r w:rsidRPr="00D06063">
        <w:rPr>
          <w:rFonts w:cs="Arial"/>
        </w:rPr>
        <w:fldChar w:fldCharType="end"/>
      </w:r>
      <w:r w:rsidR="007B40A2" w:rsidRPr="00D06063">
        <w:rPr>
          <w:rFonts w:cs="Arial"/>
        </w:rPr>
        <w:br w:type="page"/>
      </w:r>
    </w:p>
    <w:p w:rsidR="00740954" w:rsidRPr="00D06063" w:rsidRDefault="00216728" w:rsidP="004D05AE">
      <w:pPr>
        <w:pStyle w:val="Nadpis1"/>
        <w:numPr>
          <w:ilvl w:val="0"/>
          <w:numId w:val="8"/>
        </w:numPr>
        <w:rPr>
          <w:rFonts w:cs="Arial"/>
        </w:rPr>
      </w:pPr>
      <w:bookmarkStart w:id="2" w:name="_Toc256000000"/>
      <w:bookmarkStart w:id="3" w:name="_Toc14183919"/>
      <w:r w:rsidRPr="00D06063">
        <w:rPr>
          <w:rFonts w:cs="Arial"/>
        </w:rPr>
        <w:t>Úvod</w:t>
      </w:r>
      <w:bookmarkEnd w:id="2"/>
      <w:bookmarkEnd w:id="3"/>
    </w:p>
    <w:p w:rsidR="00AE6179" w:rsidRPr="00D06063" w:rsidRDefault="00216728" w:rsidP="005B07AA">
      <w:pPr>
        <w:rPr>
          <w:rFonts w:cs="Arial"/>
        </w:rPr>
      </w:pPr>
      <w:r w:rsidRPr="00D06063">
        <w:rPr>
          <w:rFonts w:cs="Arial"/>
        </w:rPr>
        <w:t>V</w:t>
      </w:r>
      <w:r w:rsidR="005744F7" w:rsidRPr="00D06063">
        <w:rPr>
          <w:rFonts w:cs="Arial"/>
        </w:rPr>
        <w:t> </w:t>
      </w:r>
      <w:r w:rsidRPr="00D06063">
        <w:rPr>
          <w:rFonts w:cs="Arial"/>
        </w:rPr>
        <w:t>Č</w:t>
      </w:r>
      <w:r w:rsidR="005744F7" w:rsidRPr="00D06063">
        <w:rPr>
          <w:rFonts w:cs="Arial"/>
        </w:rPr>
        <w:t>eské republice</w:t>
      </w:r>
      <w:r w:rsidRPr="00D06063">
        <w:rPr>
          <w:rFonts w:cs="Arial"/>
        </w:rPr>
        <w:t xml:space="preserve"> za období 2013–2017 dosáhly skutečné výdaje st</w:t>
      </w:r>
      <w:r w:rsidR="005744F7" w:rsidRPr="00D06063">
        <w:rPr>
          <w:rFonts w:cs="Arial"/>
        </w:rPr>
        <w:t>átního rozpočtu částky přes 140 </w:t>
      </w:r>
      <w:r w:rsidRPr="00D06063">
        <w:rPr>
          <w:rFonts w:cs="Arial"/>
        </w:rPr>
        <w:t xml:space="preserve">mld. Kč. </w:t>
      </w:r>
      <w:r w:rsidR="005744F7" w:rsidRPr="00D06063">
        <w:rPr>
          <w:rFonts w:cs="Arial"/>
        </w:rPr>
        <w:t>Grantová agentura České republiky (</w:t>
      </w:r>
      <w:r w:rsidRPr="00D06063">
        <w:rPr>
          <w:rFonts w:cs="Arial"/>
        </w:rPr>
        <w:t>GA ČR</w:t>
      </w:r>
      <w:r w:rsidR="005744F7" w:rsidRPr="00D06063">
        <w:rPr>
          <w:rFonts w:cs="Arial"/>
        </w:rPr>
        <w:t>)</w:t>
      </w:r>
      <w:r w:rsidRPr="00D06063">
        <w:rPr>
          <w:rFonts w:cs="Arial"/>
        </w:rPr>
        <w:t xml:space="preserve"> financovala nejlepší projekty zákl</w:t>
      </w:r>
      <w:r w:rsidRPr="00D06063">
        <w:rPr>
          <w:rFonts w:cs="Arial"/>
        </w:rPr>
        <w:t>adní</w:t>
      </w:r>
      <w:r w:rsidR="00F24EF8">
        <w:rPr>
          <w:rFonts w:cs="Arial"/>
        </w:rPr>
        <w:t>ho</w:t>
      </w:r>
      <w:r w:rsidRPr="00D06063">
        <w:rPr>
          <w:rFonts w:cs="Arial"/>
        </w:rPr>
        <w:t xml:space="preserve"> výzkum</w:t>
      </w:r>
      <w:r w:rsidR="00F24EF8">
        <w:rPr>
          <w:rFonts w:cs="Arial"/>
        </w:rPr>
        <w:t>u v rámci všech vědních oborů</w:t>
      </w:r>
      <w:r w:rsidRPr="00D06063">
        <w:rPr>
          <w:rFonts w:cs="Arial"/>
        </w:rPr>
        <w:t xml:space="preserve"> v celkové výši 18,3 mld. Kč. Na </w:t>
      </w:r>
      <w:r w:rsidR="00CE6791">
        <w:rPr>
          <w:rFonts w:cs="Arial"/>
        </w:rPr>
        <w:t>juniorské granty GA ČR rozděluje</w:t>
      </w:r>
      <w:r w:rsidRPr="00D06063">
        <w:rPr>
          <w:rFonts w:cs="Arial"/>
        </w:rPr>
        <w:t xml:space="preserve"> průměrně více než 6 % účelové podpory ročně. </w:t>
      </w:r>
    </w:p>
    <w:p w:rsidR="00AE6179" w:rsidRPr="00D06063" w:rsidRDefault="00216728" w:rsidP="005B07AA">
      <w:pPr>
        <w:rPr>
          <w:rFonts w:cs="Arial"/>
        </w:rPr>
      </w:pPr>
      <w:r w:rsidRPr="00D06063">
        <w:rPr>
          <w:rFonts w:cs="Arial"/>
        </w:rPr>
        <w:t>V rámci veřejné soutěže juniorských grantů s počátkem řešení v letech 2015</w:t>
      </w:r>
      <w:r w:rsidR="009352FA">
        <w:rPr>
          <w:rFonts w:cs="Arial"/>
        </w:rPr>
        <w:t>–</w:t>
      </w:r>
      <w:r w:rsidRPr="00D06063">
        <w:rPr>
          <w:rFonts w:cs="Arial"/>
        </w:rPr>
        <w:t>2019 GA ČR posuzovala celke</w:t>
      </w:r>
      <w:r w:rsidRPr="00D06063">
        <w:rPr>
          <w:rFonts w:cs="Arial"/>
        </w:rPr>
        <w:t>m 1 253 návrhů projektů, z nichž finanční podporu získalo 404 juniorských projektů. Dlouhodobě nejvyšší počet podaných i financovaných projektů získává obor vědy o</w:t>
      </w:r>
      <w:r w:rsidR="006B41BC">
        <w:rPr>
          <w:rFonts w:cs="Arial"/>
        </w:rPr>
        <w:t> </w:t>
      </w:r>
      <w:r w:rsidRPr="00D06063">
        <w:rPr>
          <w:rFonts w:cs="Arial"/>
        </w:rPr>
        <w:t>neživé přírodě. V případě rozdělení podle uchazečů zastupují nejpočetnější skupinu veřejné v</w:t>
      </w:r>
      <w:r w:rsidRPr="00D06063">
        <w:rPr>
          <w:rFonts w:cs="Arial"/>
        </w:rPr>
        <w:t>ysoké školy a ústavy Akademie věd ČR.</w:t>
      </w:r>
    </w:p>
    <w:p w:rsidR="00AE6179" w:rsidRPr="00D06063" w:rsidRDefault="00216728" w:rsidP="005B07AA">
      <w:pPr>
        <w:rPr>
          <w:rFonts w:cs="Arial"/>
        </w:rPr>
      </w:pPr>
      <w:r w:rsidRPr="00D06063">
        <w:rPr>
          <w:rFonts w:cs="Arial"/>
        </w:rPr>
        <w:t>GA ČR podporuje základní výzkum. Ročně rozděluje několik miliard Kč ve více než tisíci projektech. Proto je užití bibliometrie vhodné i nezbytné v jakékoli širší studii zkoumající výsledky vzniklé při řešení projektů p</w:t>
      </w:r>
      <w:r w:rsidRPr="00D06063">
        <w:rPr>
          <w:rFonts w:cs="Arial"/>
        </w:rPr>
        <w:t>odpořených GA ČR: jen článků v odborných časopisech je více než pět tisíc ročně.</w:t>
      </w:r>
    </w:p>
    <w:p w:rsidR="00740954" w:rsidRPr="00D06063" w:rsidRDefault="00216728" w:rsidP="005B07AA">
      <w:pPr>
        <w:rPr>
          <w:rFonts w:cs="Arial"/>
        </w:rPr>
      </w:pPr>
      <w:r w:rsidRPr="00D06063">
        <w:rPr>
          <w:rFonts w:cs="Arial"/>
        </w:rPr>
        <w:t>Účelem této analýzy je průběžně monitorovat skupiny grantových projektů GA ČR pomocí dostupných kvantitativních ukazatelů. Tyto ukazatele jsou podkladem k porovnání jednotlivý</w:t>
      </w:r>
      <w:r w:rsidRPr="00D06063">
        <w:rPr>
          <w:rFonts w:cs="Arial"/>
        </w:rPr>
        <w:t>ch skupin grantových projektů jak mezi sebou navzájem, tak na pozadí celé ČR. Tato analýza pomáhá naplňovat jeden ze základních úkolů GA ČR – monitorovat a vyhodnocovat dopad</w:t>
      </w:r>
      <w:r w:rsidR="007B40A2" w:rsidRPr="00D06063">
        <w:rPr>
          <w:rFonts w:cs="Arial"/>
        </w:rPr>
        <w:t>y poskytované grantové podpory.</w:t>
      </w:r>
    </w:p>
    <w:p w:rsidR="00740954" w:rsidRPr="00D06063" w:rsidRDefault="00216728" w:rsidP="005B07AA">
      <w:pPr>
        <w:rPr>
          <w:rFonts w:cs="Arial"/>
        </w:rPr>
      </w:pPr>
      <w:r w:rsidRPr="00D06063">
        <w:rPr>
          <w:rFonts w:cs="Arial"/>
        </w:rPr>
        <w:t>Většina použitých ukazatelů bibliometrické analýzy</w:t>
      </w:r>
      <w:r w:rsidRPr="00D06063">
        <w:rPr>
          <w:rFonts w:cs="Arial"/>
        </w:rPr>
        <w:t xml:space="preserve"> je založena na pořadí (resp. jeho zařazení do některé desetiny či poloviny) impaktovaného časopisu</w:t>
      </w:r>
      <w:r>
        <w:rPr>
          <w:rStyle w:val="Znakapoznpodarou"/>
          <w:rFonts w:cs="Arial"/>
        </w:rPr>
        <w:footnoteReference w:id="1"/>
      </w:r>
      <w:r w:rsidRPr="00D06063">
        <w:rPr>
          <w:rFonts w:cs="Arial"/>
          <w:sz w:val="13"/>
          <w:szCs w:val="13"/>
        </w:rPr>
        <w:t xml:space="preserve"> </w:t>
      </w:r>
      <w:r w:rsidRPr="00D06063">
        <w:rPr>
          <w:rFonts w:cs="Arial"/>
        </w:rPr>
        <w:t>ve svém oboru při ř</w:t>
      </w:r>
      <w:r w:rsidR="007B40A2" w:rsidRPr="00D06063">
        <w:rPr>
          <w:rFonts w:cs="Arial"/>
        </w:rPr>
        <w:t>azení podle impaktního faktoru.</w:t>
      </w:r>
    </w:p>
    <w:p w:rsidR="00740954" w:rsidRPr="00D06063" w:rsidRDefault="00216728" w:rsidP="005B07AA">
      <w:pPr>
        <w:rPr>
          <w:rFonts w:cs="Arial"/>
        </w:rPr>
      </w:pPr>
      <w:r w:rsidRPr="00D06063">
        <w:rPr>
          <w:rFonts w:cs="Arial"/>
        </w:rPr>
        <w:t>Analýza vychází z dat RVVI, ERC, RIV a CEP [ISVaV], Web of Science – Journal Citation Report [JCR] a dat</w:t>
      </w:r>
      <w:r w:rsidRPr="00D06063">
        <w:rPr>
          <w:rFonts w:cs="Arial"/>
        </w:rPr>
        <w:t xml:space="preserve"> z vlastních výpočtů GA ČR.</w:t>
      </w:r>
    </w:p>
    <w:p w:rsidR="00AE6179" w:rsidRPr="00D06063" w:rsidRDefault="00AE6179" w:rsidP="00AE6179">
      <w:pPr>
        <w:rPr>
          <w:rFonts w:cs="Arial"/>
        </w:rPr>
      </w:pPr>
    </w:p>
    <w:p w:rsidR="00414C65" w:rsidRPr="00D06063" w:rsidRDefault="00216728">
      <w:pPr>
        <w:jc w:val="left"/>
        <w:rPr>
          <w:rFonts w:eastAsiaTheme="majorEastAsia" w:cs="Arial"/>
          <w:b/>
          <w:color w:val="365F91" w:themeColor="accent1" w:themeShade="BF"/>
          <w:sz w:val="28"/>
          <w:szCs w:val="32"/>
        </w:rPr>
      </w:pPr>
      <w:r w:rsidRPr="00D06063">
        <w:rPr>
          <w:rFonts w:cs="Arial"/>
        </w:rPr>
        <w:br w:type="page"/>
      </w:r>
    </w:p>
    <w:p w:rsidR="00786F0D" w:rsidRPr="00D06063" w:rsidRDefault="00216728" w:rsidP="004D05AE">
      <w:pPr>
        <w:pStyle w:val="Nadpis1"/>
        <w:numPr>
          <w:ilvl w:val="0"/>
          <w:numId w:val="8"/>
        </w:numPr>
        <w:rPr>
          <w:rFonts w:cs="Arial"/>
        </w:rPr>
      </w:pPr>
      <w:bookmarkStart w:id="4" w:name="_Toc256000001"/>
      <w:bookmarkStart w:id="5" w:name="_Toc14183920"/>
      <w:r w:rsidRPr="00D06063">
        <w:rPr>
          <w:rFonts w:cs="Arial"/>
        </w:rPr>
        <w:t>Skutečné výdaje státního rozpočtu na VaV podle poskytovatelů v ČR</w:t>
      </w:r>
      <w:bookmarkEnd w:id="0"/>
      <w:bookmarkEnd w:id="4"/>
      <w:bookmarkEnd w:id="5"/>
    </w:p>
    <w:p w:rsidR="00AE6179" w:rsidRPr="00D06063" w:rsidRDefault="00216728" w:rsidP="007E7AE1">
      <w:pPr>
        <w:rPr>
          <w:rFonts w:cs="Arial"/>
          <w:lang w:eastAsia="cs-CZ"/>
        </w:rPr>
      </w:pPr>
      <w:r w:rsidRPr="00D06063">
        <w:rPr>
          <w:rFonts w:cs="Arial"/>
          <w:lang w:eastAsia="cs-CZ"/>
        </w:rPr>
        <w:t xml:space="preserve">Zdrojem dat skutečných výdajů státního rozpočtu na VaV </w:t>
      </w:r>
      <w:r w:rsidR="00535636">
        <w:rPr>
          <w:rFonts w:cs="Arial"/>
          <w:lang w:eastAsia="cs-CZ"/>
        </w:rPr>
        <w:t>jsou webové stránky</w:t>
      </w:r>
      <w:r w:rsidR="00535636" w:rsidRPr="00D06063">
        <w:rPr>
          <w:rFonts w:cs="Arial"/>
          <w:lang w:eastAsia="cs-CZ"/>
        </w:rPr>
        <w:t xml:space="preserve"> RVVI </w:t>
      </w:r>
      <w:r w:rsidR="00535636">
        <w:rPr>
          <w:rFonts w:cs="Arial"/>
          <w:lang w:eastAsia="cs-CZ"/>
        </w:rPr>
        <w:t>k </w:t>
      </w:r>
      <w:r w:rsidRPr="00D06063">
        <w:rPr>
          <w:rFonts w:cs="Arial"/>
          <w:lang w:eastAsia="cs-CZ"/>
        </w:rPr>
        <w:t>17</w:t>
      </w:r>
      <w:r w:rsidR="00535636" w:rsidRPr="00D06063">
        <w:rPr>
          <w:rFonts w:cs="Arial"/>
          <w:lang w:eastAsia="cs-CZ"/>
        </w:rPr>
        <w:t>.</w:t>
      </w:r>
      <w:r w:rsidR="00535636">
        <w:rPr>
          <w:rFonts w:cs="Arial"/>
          <w:lang w:eastAsia="cs-CZ"/>
        </w:rPr>
        <w:t> </w:t>
      </w:r>
      <w:r w:rsidRPr="00D06063">
        <w:rPr>
          <w:rFonts w:cs="Arial"/>
          <w:lang w:eastAsia="cs-CZ"/>
        </w:rPr>
        <w:t>dubnu 2019.</w:t>
      </w:r>
    </w:p>
    <w:p w:rsidR="00786F0D" w:rsidRPr="00D06063" w:rsidRDefault="00216728" w:rsidP="007E7AE1">
      <w:pPr>
        <w:rPr>
          <w:rFonts w:cs="Arial"/>
          <w:lang w:eastAsia="cs-CZ"/>
        </w:rPr>
      </w:pPr>
      <w:r w:rsidRPr="00D06063">
        <w:rPr>
          <w:rFonts w:cs="Arial"/>
          <w:lang w:eastAsia="cs-CZ"/>
        </w:rPr>
        <w:t xml:space="preserve">V případě rozdělení skutečných výdajů státního rozpočtu na </w:t>
      </w:r>
      <w:r w:rsidRPr="00D06063">
        <w:rPr>
          <w:rFonts w:cs="Arial"/>
          <w:lang w:eastAsia="cs-CZ"/>
        </w:rPr>
        <w:t>VaV podle poskytovatelů, patří v ČR mezi největší poskytovatele dlouhodobě Ministerstvo školství, mládeže a tělovýchovy (MŠMT). Z rozpočtové kapitoly MŠMT byla v letech 2013–2017 uvolněna</w:t>
      </w:r>
      <w:r w:rsidR="004F329C">
        <w:rPr>
          <w:rFonts w:cs="Arial"/>
          <w:lang w:eastAsia="cs-CZ"/>
        </w:rPr>
        <w:t xml:space="preserve"> částka na VaV ve </w:t>
      </w:r>
      <w:r w:rsidRPr="00D06063">
        <w:rPr>
          <w:rFonts w:cs="Arial"/>
          <w:lang w:eastAsia="cs-CZ"/>
        </w:rPr>
        <w:t>výši 59,4 mld. Kč (42,3 %). Nejvyšší podíl 45,3 % z</w:t>
      </w:r>
      <w:r w:rsidRPr="00D06063">
        <w:rPr>
          <w:rFonts w:cs="Arial"/>
          <w:lang w:eastAsia="cs-CZ"/>
        </w:rPr>
        <w:t> celkových výdajů státního rozpočtu na VaV byl v roce 2016, a to ve výši 12,7 mld. Kč. Na druhém místě se umístila Akademie věd ČR s rozpočtem ve výši 23,6 mld. Kč (16,8 % ze skutečných výdajů státního rozpočtu na VaV za období 2013–2017). Třetí místo zauj</w:t>
      </w:r>
      <w:r w:rsidRPr="00D06063">
        <w:rPr>
          <w:rFonts w:cs="Arial"/>
          <w:lang w:eastAsia="cs-CZ"/>
        </w:rPr>
        <w:t xml:space="preserve">ímá GA ČR, která se </w:t>
      </w:r>
      <w:r w:rsidR="00535636">
        <w:rPr>
          <w:rFonts w:cs="Arial"/>
          <w:lang w:eastAsia="cs-CZ"/>
        </w:rPr>
        <w:t xml:space="preserve">na celkových výdajích státního rozpočtu na VaV za období </w:t>
      </w:r>
      <w:r w:rsidR="00535636" w:rsidRPr="00D06063">
        <w:rPr>
          <w:rFonts w:cs="Arial"/>
          <w:lang w:eastAsia="cs-CZ"/>
        </w:rPr>
        <w:t xml:space="preserve">2013–2017 </w:t>
      </w:r>
      <w:r w:rsidRPr="00D06063">
        <w:rPr>
          <w:rFonts w:cs="Arial"/>
          <w:lang w:eastAsia="cs-CZ"/>
        </w:rPr>
        <w:t>podílela z 13,1 % (18,3 mld. Kč) na celkových výdajích státního rozpočtu na VaV za období 2013–2017.</w:t>
      </w:r>
    </w:p>
    <w:p w:rsidR="00786F0D" w:rsidRDefault="00216728" w:rsidP="003571A3">
      <w:pPr>
        <w:pStyle w:val="Titulek"/>
        <w:rPr>
          <w:rFonts w:cs="Arial"/>
        </w:rPr>
      </w:pPr>
      <w:bookmarkStart w:id="6" w:name="_Toc256000038"/>
      <w:bookmarkStart w:id="7" w:name="_Toc10036286"/>
      <w:r w:rsidRPr="00D06063">
        <w:rPr>
          <w:rFonts w:cs="Arial"/>
        </w:rPr>
        <w:t xml:space="preserve">Tabulka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Tabulka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1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2C3B7C">
        <w:rPr>
          <w:rFonts w:cs="Arial"/>
        </w:rPr>
        <w:t xml:space="preserve">– </w:t>
      </w:r>
      <w:r w:rsidRPr="00D06063">
        <w:rPr>
          <w:rFonts w:cs="Arial"/>
        </w:rPr>
        <w:t>Podíl skutečných výdajů státní</w:t>
      </w:r>
      <w:r w:rsidRPr="00D06063">
        <w:rPr>
          <w:rFonts w:cs="Arial"/>
        </w:rPr>
        <w:t>ho rozpočtu na VaV v ČR podle poskytovatelů za období 2013–2017</w:t>
      </w:r>
      <w:bookmarkEnd w:id="6"/>
      <w:bookmarkEnd w:id="7"/>
    </w:p>
    <w:p w:rsidR="00A33F0F" w:rsidRPr="00A33F0F" w:rsidRDefault="00216728" w:rsidP="00A33F0F">
      <w:r>
        <w:rPr>
          <w:noProof/>
          <w:lang w:eastAsia="cs-CZ"/>
        </w:rPr>
        <w:drawing>
          <wp:inline distT="0" distB="0" distL="0" distR="0">
            <wp:extent cx="5760720" cy="216154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5020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F0D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RVVI, vlastní výpočty</w:t>
      </w:r>
    </w:p>
    <w:p w:rsidR="00786F0D" w:rsidRPr="00D06063" w:rsidRDefault="00786F0D" w:rsidP="00786F0D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C5578C" w:rsidRDefault="00216728" w:rsidP="005B07AA">
      <w:pPr>
        <w:rPr>
          <w:rFonts w:cs="Arial"/>
        </w:rPr>
      </w:pPr>
      <w:r w:rsidRPr="00D06063">
        <w:rPr>
          <w:rFonts w:cs="Arial"/>
        </w:rPr>
        <w:t>Mezi nejvýznamnější poskytovatele institucionální podpory patří MŠMT. V roce 2017 poskytlo MŠMT institucionální prostředky ve výši 7,6 mld. Kč. J</w:t>
      </w:r>
      <w:r w:rsidR="00922B68" w:rsidRPr="00D06063">
        <w:rPr>
          <w:rFonts w:cs="Arial"/>
        </w:rPr>
        <w:t>ednalo se o více než polovinu z </w:t>
      </w:r>
      <w:r w:rsidRPr="00D06063">
        <w:rPr>
          <w:rFonts w:cs="Arial"/>
        </w:rPr>
        <w:t>celkových institucionálních výdajů státního rozpočtu v roce 2017. Druhým nejvýznamnějším poskytovatelem institucionální podpory je Akademie věd ČR, která rozdělila prostředky ve výši 5,2 mld. Kč. V roce 2017 v ČR patř</w:t>
      </w:r>
      <w:r w:rsidR="00535636">
        <w:rPr>
          <w:rFonts w:cs="Arial"/>
        </w:rPr>
        <w:t>ili</w:t>
      </w:r>
      <w:r w:rsidRPr="00D06063">
        <w:rPr>
          <w:rFonts w:cs="Arial"/>
        </w:rPr>
        <w:t xml:space="preserve"> mezi nejvýznamn</w:t>
      </w:r>
      <w:r w:rsidRPr="00D06063">
        <w:rPr>
          <w:rFonts w:cs="Arial"/>
        </w:rPr>
        <w:t xml:space="preserve">ější poskytovatele účelové podpory MŠMT a GA ČR. MŠMT rozdělila 5,4 mld. Kč účelové podpory. </w:t>
      </w:r>
      <w:r w:rsidR="00922B68" w:rsidRPr="00D06063">
        <w:rPr>
          <w:rFonts w:cs="Arial"/>
        </w:rPr>
        <w:t xml:space="preserve">Prostřednictvím GA ČR </w:t>
      </w:r>
      <w:r w:rsidR="002C3B7C" w:rsidRPr="00D06063">
        <w:rPr>
          <w:rFonts w:cs="Arial"/>
        </w:rPr>
        <w:t>byl</w:t>
      </w:r>
      <w:r w:rsidR="002C3B7C">
        <w:rPr>
          <w:rFonts w:cs="Arial"/>
        </w:rPr>
        <w:t>y</w:t>
      </w:r>
      <w:r w:rsidR="002C3B7C" w:rsidRPr="00D06063">
        <w:rPr>
          <w:rFonts w:cs="Arial"/>
        </w:rPr>
        <w:t xml:space="preserve"> </w:t>
      </w:r>
      <w:r w:rsidR="00922B68" w:rsidRPr="00D06063">
        <w:rPr>
          <w:rFonts w:cs="Arial"/>
        </w:rPr>
        <w:t>v </w:t>
      </w:r>
      <w:r w:rsidRPr="00D06063">
        <w:rPr>
          <w:rFonts w:cs="Arial"/>
        </w:rPr>
        <w:t xml:space="preserve">roce 2017 </w:t>
      </w:r>
      <w:r w:rsidR="002C3B7C" w:rsidRPr="00D06063">
        <w:rPr>
          <w:rFonts w:cs="Arial"/>
        </w:rPr>
        <w:t>alokován</w:t>
      </w:r>
      <w:r w:rsidR="002C3B7C">
        <w:rPr>
          <w:rFonts w:cs="Arial"/>
        </w:rPr>
        <w:t>y</w:t>
      </w:r>
      <w:r w:rsidR="002C3B7C" w:rsidRPr="00D06063">
        <w:rPr>
          <w:rFonts w:cs="Arial"/>
        </w:rPr>
        <w:t xml:space="preserve"> </w:t>
      </w:r>
      <w:r w:rsidRPr="00D06063">
        <w:rPr>
          <w:rFonts w:cs="Arial"/>
        </w:rPr>
        <w:t>celkem 4 mld. Kč účelové podpor</w:t>
      </w:r>
      <w:r w:rsidR="00922B68" w:rsidRPr="00D06063">
        <w:rPr>
          <w:rFonts w:cs="Arial"/>
        </w:rPr>
        <w:t>y, což odpovídá podílu 25,5 % z </w:t>
      </w:r>
      <w:r w:rsidRPr="00D06063">
        <w:rPr>
          <w:rFonts w:cs="Arial"/>
        </w:rPr>
        <w:t>celkových účelových výdajů státního rozpočtu v roce</w:t>
      </w:r>
      <w:r w:rsidRPr="00D06063">
        <w:rPr>
          <w:rFonts w:cs="Arial"/>
        </w:rPr>
        <w:t xml:space="preserve"> 2017.</w:t>
      </w:r>
      <w:bookmarkStart w:id="8" w:name="_Toc7650742"/>
    </w:p>
    <w:p w:rsidR="00A33F0F" w:rsidRDefault="00A33F0F" w:rsidP="005B07AA">
      <w:pPr>
        <w:rPr>
          <w:rFonts w:cs="Arial"/>
        </w:rPr>
      </w:pPr>
    </w:p>
    <w:p w:rsidR="00A33F0F" w:rsidRDefault="00A33F0F" w:rsidP="005B07AA">
      <w:pPr>
        <w:rPr>
          <w:rFonts w:cs="Arial"/>
        </w:rPr>
      </w:pPr>
    </w:p>
    <w:p w:rsidR="00A33F0F" w:rsidRPr="00D06063" w:rsidRDefault="00A33F0F" w:rsidP="005B07AA">
      <w:pPr>
        <w:rPr>
          <w:rFonts w:cs="Arial"/>
        </w:rPr>
      </w:pPr>
    </w:p>
    <w:p w:rsidR="005744F7" w:rsidRPr="00D06063" w:rsidRDefault="005744F7" w:rsidP="005744F7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414C65" w:rsidRPr="00D06063" w:rsidRDefault="00414C65" w:rsidP="005744F7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786F0D" w:rsidRDefault="00216728" w:rsidP="00535636">
      <w:pPr>
        <w:pStyle w:val="Titulek"/>
        <w:keepNext/>
        <w:spacing w:after="0"/>
        <w:rPr>
          <w:rFonts w:cs="Arial"/>
        </w:rPr>
      </w:pPr>
      <w:bookmarkStart w:id="9" w:name="_Toc256000015"/>
      <w:bookmarkStart w:id="10" w:name="_Toc10036263"/>
      <w:bookmarkEnd w:id="8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1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2C3B7C">
        <w:rPr>
          <w:rFonts w:cs="Arial"/>
        </w:rPr>
        <w:t xml:space="preserve">– </w:t>
      </w:r>
      <w:r w:rsidRPr="00D06063">
        <w:rPr>
          <w:rFonts w:cs="Arial"/>
        </w:rPr>
        <w:t>Skutečné výdaje státního rozpočtu na výzkum, vývoj a inovace v ČR podle hlavních poskytovatelů* v roce 2017 (v mld. Kč)</w:t>
      </w:r>
      <w:bookmarkEnd w:id="9"/>
      <w:bookmarkEnd w:id="10"/>
    </w:p>
    <w:p w:rsidR="002C3B7C" w:rsidRPr="00535636" w:rsidRDefault="002C3B7C" w:rsidP="00A817D7">
      <w:pPr>
        <w:spacing w:after="0"/>
        <w:rPr>
          <w:b/>
          <w:iCs/>
        </w:rPr>
      </w:pPr>
    </w:p>
    <w:p w:rsidR="00786F0D" w:rsidRPr="00D06063" w:rsidRDefault="00216728" w:rsidP="00535636">
      <w:pPr>
        <w:keepNext/>
        <w:spacing w:after="0" w:line="271" w:lineRule="auto"/>
        <w:ind w:hanging="142"/>
        <w:rPr>
          <w:rFonts w:eastAsia="Times New Roman" w:cs="Arial"/>
          <w:b/>
          <w:szCs w:val="24"/>
          <w:lang w:eastAsia="cs-CZ"/>
        </w:rPr>
      </w:pPr>
      <w:r>
        <w:rPr>
          <w:rFonts w:eastAsia="Times New Roman" w:cs="Arial"/>
          <w:b/>
          <w:noProof/>
          <w:szCs w:val="24"/>
          <w:lang w:eastAsia="cs-CZ"/>
        </w:rPr>
        <w:drawing>
          <wp:inline distT="0" distB="0" distL="0" distR="0">
            <wp:extent cx="6120765" cy="2322830"/>
            <wp:effectExtent l="0" t="0" r="0" b="127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98893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322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F0D" w:rsidRPr="00D06063" w:rsidRDefault="00216728" w:rsidP="00535636">
      <w:pPr>
        <w:pStyle w:val="podobr"/>
        <w:keepNext/>
        <w:rPr>
          <w:rFonts w:cs="Arial"/>
        </w:rPr>
      </w:pPr>
      <w:r w:rsidRPr="00D06063">
        <w:rPr>
          <w:rFonts w:cs="Arial"/>
        </w:rPr>
        <w:t>Zdroj: RVVI</w:t>
      </w:r>
    </w:p>
    <w:p w:rsidR="00786F0D" w:rsidRPr="00D06063" w:rsidRDefault="00216728" w:rsidP="007E7AE1">
      <w:pPr>
        <w:pStyle w:val="Poznmka"/>
        <w:rPr>
          <w:rFonts w:eastAsia="Times New Roman" w:cs="Arial"/>
        </w:rPr>
      </w:pPr>
      <w:r w:rsidRPr="00D06063">
        <w:rPr>
          <w:rFonts w:eastAsia="Times New Roman" w:cs="Arial"/>
        </w:rPr>
        <w:t>* Nejsou zahrnuti poskytovatelé: Ministerstvo životního prostředí, Úřad vlády</w:t>
      </w:r>
      <w:r w:rsidRPr="00D06063">
        <w:rPr>
          <w:rFonts w:eastAsia="Times New Roman" w:cs="Arial"/>
        </w:rPr>
        <w:t xml:space="preserve"> ČR, Ministerstvo dopravy, Ministerstvo zahraničních věcí, Ministerstvo práce a sociálních věcí</w:t>
      </w:r>
    </w:p>
    <w:p w:rsidR="00786F0D" w:rsidRPr="00D06063" w:rsidRDefault="00786F0D" w:rsidP="00535636">
      <w:pPr>
        <w:spacing w:line="271" w:lineRule="auto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FE0AAE">
      <w:pPr>
        <w:pStyle w:val="Nadpis2"/>
        <w:rPr>
          <w:rFonts w:eastAsia="Times New Roman" w:cs="Arial"/>
          <w:lang w:eastAsia="cs-CZ"/>
        </w:rPr>
      </w:pPr>
      <w:bookmarkStart w:id="11" w:name="_Toc256000002"/>
      <w:bookmarkStart w:id="12" w:name="_Toc7650692"/>
      <w:bookmarkStart w:id="13" w:name="_Toc14183921"/>
      <w:r w:rsidRPr="00D06063">
        <w:rPr>
          <w:rFonts w:eastAsia="Times New Roman" w:cs="Arial"/>
          <w:lang w:eastAsia="cs-CZ"/>
        </w:rPr>
        <w:t>2.1. Rozpočet GA ČR</w:t>
      </w:r>
      <w:bookmarkEnd w:id="11"/>
      <w:bookmarkEnd w:id="12"/>
      <w:bookmarkEnd w:id="13"/>
    </w:p>
    <w:p w:rsidR="00786F0D" w:rsidRPr="00D06063" w:rsidRDefault="00216728" w:rsidP="005B07AA">
      <w:pPr>
        <w:rPr>
          <w:rFonts w:cs="Arial"/>
          <w:lang w:eastAsia="cs-CZ"/>
        </w:rPr>
      </w:pPr>
      <w:r w:rsidRPr="00D06063">
        <w:rPr>
          <w:rFonts w:cs="Arial"/>
          <w:lang w:eastAsia="cs-CZ"/>
        </w:rPr>
        <w:t>Pro rozpočet GA ČR byla použita data z vlastních výpočtů GA ČR, aktualizovaná k 21. únoru 2019.</w:t>
      </w:r>
    </w:p>
    <w:p w:rsidR="00786F0D" w:rsidRDefault="00216728" w:rsidP="00535636">
      <w:pPr>
        <w:spacing w:after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>Rozpočet GA ČR na období 1997</w:t>
      </w:r>
      <w:r w:rsidR="002C3B7C">
        <w:rPr>
          <w:rFonts w:cs="Arial"/>
          <w:lang w:eastAsia="cs-CZ"/>
        </w:rPr>
        <w:t>–</w:t>
      </w:r>
      <w:r w:rsidRPr="00D06063">
        <w:rPr>
          <w:rFonts w:cs="Arial"/>
          <w:lang w:eastAsia="cs-CZ"/>
        </w:rPr>
        <w:t>2017 je rozdě</w:t>
      </w:r>
      <w:r w:rsidRPr="00D06063">
        <w:rPr>
          <w:rFonts w:cs="Arial"/>
          <w:lang w:eastAsia="cs-CZ"/>
        </w:rPr>
        <w:t>len do dvou částí. Celkové výdaje GA ČR se dělí na institucionální výdaje GA ČR, tj. na činnost Kanceláře GA ČR včetně zabezpečení veřejné soutěže a hodnocení návrhů projektů, jejich kontrolu po dobu řešení</w:t>
      </w:r>
      <w:r w:rsidR="002C3B7C">
        <w:rPr>
          <w:rFonts w:cs="Arial"/>
          <w:lang w:eastAsia="cs-CZ"/>
        </w:rPr>
        <w:t>,</w:t>
      </w:r>
      <w:r w:rsidRPr="00D06063">
        <w:rPr>
          <w:rFonts w:cs="Arial"/>
          <w:lang w:eastAsia="cs-CZ"/>
        </w:rPr>
        <w:t xml:space="preserve"> a na účelové prostředky určené na výzkum a vývoj</w:t>
      </w:r>
      <w:r w:rsidRPr="00D06063">
        <w:rPr>
          <w:rFonts w:cs="Arial"/>
          <w:lang w:eastAsia="cs-CZ"/>
        </w:rPr>
        <w:t xml:space="preserve">. I přes navýšení celkových výdajů GA ČR od roku 2011 z 2 461 mil. Kč na 4 333 mil. Kč v roce 2017 došlo k poklesu podílu institucionálních prostředků z 3,94 % na 2,60 %. </w:t>
      </w:r>
    </w:p>
    <w:p w:rsidR="002C3B7C" w:rsidRPr="00D06063" w:rsidRDefault="002C3B7C" w:rsidP="00535636">
      <w:pPr>
        <w:spacing w:after="0"/>
        <w:rPr>
          <w:rFonts w:cs="Arial"/>
          <w:lang w:eastAsia="cs-CZ"/>
        </w:rPr>
      </w:pPr>
    </w:p>
    <w:p w:rsidR="004C1106" w:rsidRDefault="00216728" w:rsidP="00742C11">
      <w:pPr>
        <w:pStyle w:val="Titulek"/>
        <w:rPr>
          <w:rFonts w:cs="Arial"/>
        </w:rPr>
      </w:pPr>
      <w:bookmarkStart w:id="14" w:name="_Toc10036264"/>
      <w:bookmarkStart w:id="15" w:name="_Toc256000016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2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2C3B7C">
        <w:rPr>
          <w:rFonts w:cs="Arial"/>
        </w:rPr>
        <w:t xml:space="preserve">– </w:t>
      </w:r>
      <w:r w:rsidRPr="00D06063">
        <w:rPr>
          <w:rFonts w:cs="Arial"/>
        </w:rPr>
        <w:t>Schválený rozpočet GA ČR podle formy financování za</w:t>
      </w:r>
      <w:r w:rsidRPr="00D06063">
        <w:rPr>
          <w:rFonts w:cs="Arial"/>
        </w:rPr>
        <w:t xml:space="preserve"> období 1997–2017</w:t>
      </w:r>
      <w:bookmarkEnd w:id="14"/>
      <w:r w:rsidR="00742C11">
        <w:rPr>
          <w:noProof/>
          <w:lang w:eastAsia="cs-CZ"/>
        </w:rPr>
        <w:drawing>
          <wp:inline distT="0" distB="0" distL="0" distR="0">
            <wp:extent cx="5760720" cy="2419350"/>
            <wp:effectExtent l="0" t="0" r="0" b="0"/>
            <wp:docPr id="370694753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157556" name=""/>
                    <pic:cNvPicPr/>
                  </pic:nvPicPr>
                  <pic:blipFill>
                    <a:blip r:embed="rId9"/>
                    <a:srcRect t="-1" b="2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1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42C11" w:rsidRPr="00742C11">
        <w:rPr>
          <w:rFonts w:cs="Arial"/>
        </w:rPr>
        <w:t xml:space="preserve"> </w:t>
      </w:r>
      <w:r w:rsidR="00742C11" w:rsidRPr="00742C11">
        <w:rPr>
          <w:rFonts w:cs="Arial"/>
          <w:b w:val="0"/>
          <w:i/>
          <w:sz w:val="20"/>
          <w:szCs w:val="20"/>
        </w:rPr>
        <w:t>Zdroj: RVVI</w:t>
      </w:r>
      <w:bookmarkEnd w:id="15"/>
    </w:p>
    <w:p w:rsidR="00786F0D" w:rsidRPr="00D06063" w:rsidRDefault="00216728" w:rsidP="005B07AA">
      <w:pPr>
        <w:rPr>
          <w:rFonts w:cs="Arial"/>
          <w:lang w:eastAsia="cs-CZ"/>
        </w:rPr>
      </w:pPr>
      <w:r w:rsidRPr="00D06063">
        <w:rPr>
          <w:rFonts w:cs="Arial"/>
          <w:lang w:eastAsia="cs-CZ"/>
        </w:rPr>
        <w:t>GA ČR rozdělila za období 2007</w:t>
      </w:r>
      <w:r w:rsidR="004C1106">
        <w:rPr>
          <w:rFonts w:cs="Arial"/>
          <w:lang w:eastAsia="cs-CZ"/>
        </w:rPr>
        <w:t>–</w:t>
      </w:r>
      <w:r w:rsidRPr="00D06063">
        <w:rPr>
          <w:rFonts w:cs="Arial"/>
          <w:lang w:eastAsia="cs-CZ"/>
        </w:rPr>
        <w:t xml:space="preserve">2017 finanční prostředky pro jednotlivé typy projektů do následujících skupin: </w:t>
      </w:r>
    </w:p>
    <w:p w:rsidR="005B07AA" w:rsidRPr="00D06063" w:rsidRDefault="00216728" w:rsidP="00535636">
      <w:pPr>
        <w:pStyle w:val="Odstavecseseznamem"/>
        <w:numPr>
          <w:ilvl w:val="0"/>
          <w:numId w:val="12"/>
        </w:numPr>
        <w:ind w:left="714" w:hanging="357"/>
        <w:contextualSpacing w:val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>prostředky pro financování standardních projektů;</w:t>
      </w:r>
    </w:p>
    <w:p w:rsidR="005B07AA" w:rsidRPr="00D06063" w:rsidRDefault="00216728" w:rsidP="00535636">
      <w:pPr>
        <w:pStyle w:val="Odstavecseseznamem"/>
        <w:numPr>
          <w:ilvl w:val="0"/>
          <w:numId w:val="12"/>
        </w:numPr>
        <w:ind w:left="714" w:hanging="357"/>
        <w:contextualSpacing w:val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>prostředky pro financování postdoktorských projektů;</w:t>
      </w:r>
    </w:p>
    <w:p w:rsidR="005B07AA" w:rsidRPr="00D06063" w:rsidRDefault="00216728" w:rsidP="00535636">
      <w:pPr>
        <w:pStyle w:val="Odstavecseseznamem"/>
        <w:numPr>
          <w:ilvl w:val="0"/>
          <w:numId w:val="12"/>
        </w:numPr>
        <w:ind w:left="714" w:hanging="357"/>
        <w:contextualSpacing w:val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 xml:space="preserve">prostředky </w:t>
      </w:r>
      <w:r w:rsidRPr="00D06063">
        <w:rPr>
          <w:rFonts w:cs="Arial"/>
          <w:lang w:eastAsia="cs-CZ"/>
        </w:rPr>
        <w:t>pro financování doktorských projektů;</w:t>
      </w:r>
    </w:p>
    <w:p w:rsidR="005B07AA" w:rsidRPr="00D06063" w:rsidRDefault="00216728" w:rsidP="00535636">
      <w:pPr>
        <w:pStyle w:val="Odstavecseseznamem"/>
        <w:numPr>
          <w:ilvl w:val="0"/>
          <w:numId w:val="12"/>
        </w:numPr>
        <w:ind w:left="714" w:hanging="357"/>
        <w:contextualSpacing w:val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>prostředky pro financování projektů EUROCORES (European Collaborative Research),</w:t>
      </w:r>
    </w:p>
    <w:p w:rsidR="005B07AA" w:rsidRPr="00D06063" w:rsidRDefault="00216728" w:rsidP="00535636">
      <w:pPr>
        <w:pStyle w:val="Odstavecseseznamem"/>
        <w:numPr>
          <w:ilvl w:val="0"/>
          <w:numId w:val="12"/>
        </w:numPr>
        <w:ind w:left="714" w:hanging="357"/>
        <w:contextualSpacing w:val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>prostředky pro financování mezinárodních (bilaterálních) projektů;</w:t>
      </w:r>
    </w:p>
    <w:p w:rsidR="005B07AA" w:rsidRPr="00D06063" w:rsidRDefault="00216728" w:rsidP="00535636">
      <w:pPr>
        <w:pStyle w:val="Odstavecseseznamem"/>
        <w:numPr>
          <w:ilvl w:val="0"/>
          <w:numId w:val="12"/>
        </w:numPr>
        <w:ind w:left="714" w:hanging="357"/>
        <w:contextualSpacing w:val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>prostředky pro financování projektů na podporu excelence v základním v</w:t>
      </w:r>
      <w:r w:rsidRPr="00D06063">
        <w:rPr>
          <w:rFonts w:cs="Arial"/>
          <w:lang w:eastAsia="cs-CZ"/>
        </w:rPr>
        <w:t>ýzkumu;</w:t>
      </w:r>
    </w:p>
    <w:p w:rsidR="005B07AA" w:rsidRPr="00D06063" w:rsidRDefault="00216728" w:rsidP="00535636">
      <w:pPr>
        <w:pStyle w:val="Odstavecseseznamem"/>
        <w:numPr>
          <w:ilvl w:val="0"/>
          <w:numId w:val="12"/>
        </w:numPr>
        <w:ind w:left="714" w:hanging="357"/>
        <w:contextualSpacing w:val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>prostředky pro financování juniorských grantů;</w:t>
      </w:r>
    </w:p>
    <w:p w:rsidR="005B07AA" w:rsidRPr="00D06063" w:rsidRDefault="00216728" w:rsidP="00535636">
      <w:pPr>
        <w:pStyle w:val="Odstavecseseznamem"/>
        <w:numPr>
          <w:ilvl w:val="0"/>
          <w:numId w:val="12"/>
        </w:numPr>
        <w:ind w:left="714" w:hanging="357"/>
        <w:contextualSpacing w:val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>prostředky pro financování mezinárodních grantů na principu hodnocení Lead Agency (LA granty);</w:t>
      </w:r>
    </w:p>
    <w:p w:rsidR="00786F0D" w:rsidRPr="00D06063" w:rsidRDefault="00216728" w:rsidP="00535636">
      <w:pPr>
        <w:pStyle w:val="Odstavecseseznamem"/>
        <w:numPr>
          <w:ilvl w:val="0"/>
          <w:numId w:val="12"/>
        </w:numPr>
        <w:rPr>
          <w:rFonts w:cs="Arial"/>
          <w:lang w:eastAsia="cs-CZ"/>
        </w:rPr>
      </w:pPr>
      <w:r w:rsidRPr="00D06063">
        <w:rPr>
          <w:rFonts w:cs="Arial"/>
          <w:lang w:eastAsia="cs-CZ"/>
        </w:rPr>
        <w:t>prostředky pro financování projektů na podporu mezinárodní spolupráce pro získávání ERC grantů („Podpora E</w:t>
      </w:r>
      <w:r w:rsidRPr="00D06063">
        <w:rPr>
          <w:rFonts w:cs="Arial"/>
          <w:lang w:eastAsia="cs-CZ"/>
        </w:rPr>
        <w:t>RC žadatelů“).</w:t>
      </w:r>
    </w:p>
    <w:p w:rsidR="00786F0D" w:rsidRPr="00D06063" w:rsidRDefault="00216728" w:rsidP="00535636">
      <w:pPr>
        <w:spacing w:after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>Nejvyšší finanční podporu poskytovala GA ČR dlouhodobě na standardní projekty, které průměrně pokrývají více než 77,6 % celkových účelových výdajů za období 2007</w:t>
      </w:r>
      <w:r w:rsidR="004C1106">
        <w:rPr>
          <w:rFonts w:cs="Arial"/>
          <w:lang w:eastAsia="cs-CZ"/>
        </w:rPr>
        <w:t>–</w:t>
      </w:r>
      <w:r w:rsidRPr="00D06063">
        <w:rPr>
          <w:rFonts w:cs="Arial"/>
          <w:lang w:eastAsia="cs-CZ"/>
        </w:rPr>
        <w:t>2017. Druhá největší část finanční podpory (8,9 % celkových účelových výdajů) p</w:t>
      </w:r>
      <w:r w:rsidRPr="00D06063">
        <w:rPr>
          <w:rFonts w:cs="Arial"/>
          <w:lang w:eastAsia="cs-CZ"/>
        </w:rPr>
        <w:t>řipadla na projekty na podporu excelence v základním výzkumu. Rozdělení účelové podpory GA ČR mezi dané skupiny grantových projektů v jednotlivých letech zachycuje následující tabulka.</w:t>
      </w:r>
    </w:p>
    <w:p w:rsidR="00786F0D" w:rsidRPr="00D06063" w:rsidRDefault="00786F0D" w:rsidP="00786F0D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786F0D" w:rsidRDefault="00216728" w:rsidP="003571A3">
      <w:pPr>
        <w:pStyle w:val="Titulek"/>
        <w:rPr>
          <w:rFonts w:cs="Arial"/>
        </w:rPr>
      </w:pPr>
      <w:bookmarkStart w:id="16" w:name="_Toc256000039"/>
      <w:bookmarkStart w:id="17" w:name="_Toc10036287"/>
      <w:r w:rsidRPr="00D06063">
        <w:rPr>
          <w:rFonts w:cs="Arial"/>
        </w:rPr>
        <w:t xml:space="preserve">Tabulka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Tabulka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2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4C1106">
        <w:rPr>
          <w:rFonts w:cs="Arial"/>
        </w:rPr>
        <w:t xml:space="preserve">– </w:t>
      </w:r>
      <w:r w:rsidRPr="00D06063">
        <w:rPr>
          <w:rFonts w:cs="Arial"/>
        </w:rPr>
        <w:t xml:space="preserve">Struktura účelové podpory GA ČR </w:t>
      </w:r>
      <w:r w:rsidRPr="00D06063">
        <w:rPr>
          <w:rFonts w:cs="Arial"/>
        </w:rPr>
        <w:t>podle skupin grantových projektů za období 2007</w:t>
      </w:r>
      <w:r w:rsidR="00A33F0F">
        <w:rPr>
          <w:rFonts w:cs="Arial"/>
        </w:rPr>
        <w:t>–</w:t>
      </w:r>
      <w:r w:rsidRPr="00D06063">
        <w:rPr>
          <w:rFonts w:cs="Arial"/>
        </w:rPr>
        <w:t>2017</w:t>
      </w:r>
      <w:bookmarkEnd w:id="16"/>
      <w:bookmarkEnd w:id="17"/>
    </w:p>
    <w:p w:rsidR="00A33F0F" w:rsidRPr="00A33F0F" w:rsidRDefault="00216728" w:rsidP="00535636">
      <w:pPr>
        <w:spacing w:after="0"/>
      </w:pPr>
      <w:r>
        <w:rPr>
          <w:noProof/>
          <w:lang w:eastAsia="cs-CZ"/>
        </w:rPr>
        <w:drawing>
          <wp:inline distT="0" distB="0" distL="0" distR="0">
            <wp:extent cx="5760720" cy="2277110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16997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7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F0D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4D05AE" w:rsidRPr="00D06063" w:rsidRDefault="004D05AE" w:rsidP="00786F0D">
      <w:pPr>
        <w:spacing w:after="0" w:line="271" w:lineRule="auto"/>
        <w:rPr>
          <w:rFonts w:eastAsiaTheme="majorEastAsia" w:cs="Arial"/>
          <w:b/>
          <w:color w:val="365F91" w:themeColor="accent1" w:themeShade="BF"/>
          <w:sz w:val="24"/>
          <w:szCs w:val="32"/>
        </w:rPr>
      </w:pPr>
    </w:p>
    <w:p w:rsidR="00414C65" w:rsidRPr="00D06063" w:rsidRDefault="00216728">
      <w:pPr>
        <w:jc w:val="left"/>
        <w:rPr>
          <w:rFonts w:eastAsiaTheme="majorEastAsia" w:cs="Arial"/>
          <w:b/>
          <w:color w:val="365F91" w:themeColor="accent1" w:themeShade="BF"/>
          <w:sz w:val="28"/>
          <w:szCs w:val="32"/>
        </w:rPr>
      </w:pPr>
      <w:r w:rsidRPr="00D06063">
        <w:rPr>
          <w:rFonts w:cs="Arial"/>
        </w:rPr>
        <w:br w:type="page"/>
      </w:r>
    </w:p>
    <w:p w:rsidR="004D05AE" w:rsidRPr="00D06063" w:rsidRDefault="00216728" w:rsidP="004D05AE">
      <w:pPr>
        <w:pStyle w:val="Nadpis1"/>
        <w:numPr>
          <w:ilvl w:val="0"/>
          <w:numId w:val="8"/>
        </w:numPr>
        <w:rPr>
          <w:rFonts w:cs="Arial"/>
        </w:rPr>
      </w:pPr>
      <w:bookmarkStart w:id="18" w:name="_Toc256000003"/>
      <w:bookmarkStart w:id="19" w:name="_Toc14183922"/>
      <w:r w:rsidRPr="00D06063">
        <w:rPr>
          <w:rFonts w:cs="Arial"/>
        </w:rPr>
        <w:t>Juniorské granty</w:t>
      </w:r>
      <w:bookmarkEnd w:id="18"/>
      <w:bookmarkEnd w:id="19"/>
    </w:p>
    <w:p w:rsidR="00E54BAE" w:rsidRPr="00D06063" w:rsidRDefault="00216728" w:rsidP="005B07AA">
      <w:pPr>
        <w:rPr>
          <w:rFonts w:cs="Arial"/>
          <w:lang w:eastAsia="cs-CZ"/>
        </w:rPr>
      </w:pPr>
      <w:r w:rsidRPr="00D06063">
        <w:rPr>
          <w:rFonts w:cs="Arial"/>
          <w:lang w:eastAsia="cs-CZ"/>
        </w:rPr>
        <w:t>Veškerá zdrojová data použitá v této kapitole představují dat</w:t>
      </w:r>
      <w:r w:rsidR="00414C65" w:rsidRPr="00D06063">
        <w:rPr>
          <w:rFonts w:cs="Arial"/>
          <w:lang w:eastAsia="cs-CZ"/>
        </w:rPr>
        <w:t xml:space="preserve">a z vlastních výpočtů GA ČR </w:t>
      </w:r>
      <w:r w:rsidR="00FE76F7" w:rsidRPr="00D06063">
        <w:rPr>
          <w:rFonts w:cs="Arial"/>
          <w:lang w:eastAsia="cs-CZ"/>
        </w:rPr>
        <w:t>a</w:t>
      </w:r>
      <w:r w:rsidR="00FE76F7">
        <w:rPr>
          <w:rFonts w:cs="Arial"/>
          <w:lang w:eastAsia="cs-CZ"/>
        </w:rPr>
        <w:t> </w:t>
      </w:r>
      <w:r w:rsidR="00414C65" w:rsidRPr="00D06063">
        <w:rPr>
          <w:rFonts w:cs="Arial"/>
          <w:lang w:eastAsia="cs-CZ"/>
        </w:rPr>
        <w:t>z </w:t>
      </w:r>
      <w:r w:rsidRPr="00D06063">
        <w:rPr>
          <w:rFonts w:cs="Arial"/>
          <w:lang w:eastAsia="cs-CZ"/>
        </w:rPr>
        <w:t xml:space="preserve">dat zveřejněných Evropskou výzkumnou radou (ERC) aktualizovaná k 17. dubnu </w:t>
      </w:r>
      <w:r w:rsidRPr="00D06063">
        <w:rPr>
          <w:rFonts w:cs="Arial"/>
          <w:lang w:eastAsia="cs-CZ"/>
        </w:rPr>
        <w:t>2019. Všechny výpočty jsou prováděny z nezaokrouhlených údajů. Z důvodu zaokrouhlování nemusí vždy uvedené součty či mezisoučty odpovídat součtu dílčích hodnot.</w:t>
      </w:r>
    </w:p>
    <w:p w:rsidR="00385D1B" w:rsidRPr="00D06063" w:rsidRDefault="00216728" w:rsidP="00535636">
      <w:pPr>
        <w:spacing w:after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>Ve veřejné soutěži juniorských projektů vyhlášené v letech 2014</w:t>
      </w:r>
      <w:r w:rsidR="006C6134">
        <w:rPr>
          <w:rFonts w:cs="Arial"/>
          <w:lang w:eastAsia="cs-CZ"/>
        </w:rPr>
        <w:t>–</w:t>
      </w:r>
      <w:r w:rsidRPr="00D06063">
        <w:rPr>
          <w:rFonts w:cs="Arial"/>
          <w:lang w:eastAsia="cs-CZ"/>
        </w:rPr>
        <w:t xml:space="preserve">2018 GA ČR posuzovala celkem </w:t>
      </w:r>
      <w:r w:rsidRPr="00D06063">
        <w:rPr>
          <w:rFonts w:cs="Arial"/>
          <w:lang w:eastAsia="cs-CZ"/>
        </w:rPr>
        <w:t>1 253 návrhů projektů s celkovými finančními požada</w:t>
      </w:r>
      <w:r w:rsidR="00414C65" w:rsidRPr="00D06063">
        <w:rPr>
          <w:rFonts w:cs="Arial"/>
          <w:lang w:eastAsia="cs-CZ"/>
        </w:rPr>
        <w:t>vky ve výši 5 954,513 mld</w:t>
      </w:r>
      <w:r w:rsidR="006C6134">
        <w:rPr>
          <w:rFonts w:cs="Arial"/>
          <w:lang w:eastAsia="cs-CZ"/>
        </w:rPr>
        <w:t>.</w:t>
      </w:r>
      <w:r w:rsidR="00414C65" w:rsidRPr="00D06063">
        <w:rPr>
          <w:rFonts w:cs="Arial"/>
          <w:lang w:eastAsia="cs-CZ"/>
        </w:rPr>
        <w:t xml:space="preserve"> Kč. Z </w:t>
      </w:r>
      <w:r w:rsidRPr="00D06063">
        <w:rPr>
          <w:rFonts w:cs="Arial"/>
          <w:lang w:eastAsia="cs-CZ"/>
        </w:rPr>
        <w:t>1 253 posuzovaných projektů získalo celkem podporu 404 juniorských projektů s počátkem řešení 2015</w:t>
      </w:r>
      <w:r w:rsidR="006C6134">
        <w:rPr>
          <w:rFonts w:cs="Arial"/>
          <w:lang w:eastAsia="cs-CZ"/>
        </w:rPr>
        <w:t>–</w:t>
      </w:r>
      <w:r w:rsidRPr="00D06063">
        <w:rPr>
          <w:rFonts w:cs="Arial"/>
          <w:lang w:eastAsia="cs-CZ"/>
        </w:rPr>
        <w:t>2019. Nejvyšší úspěšnost v soutěži juniorských grantových projektů byla z</w:t>
      </w:r>
      <w:r w:rsidRPr="00D06063">
        <w:rPr>
          <w:rFonts w:cs="Arial"/>
          <w:lang w:eastAsia="cs-CZ"/>
        </w:rPr>
        <w:t>aznamenána v roce 2019, k</w:t>
      </w:r>
      <w:bookmarkStart w:id="20" w:name="_Toc7650716"/>
      <w:r w:rsidR="00E54BAE" w:rsidRPr="00D06063">
        <w:rPr>
          <w:rFonts w:cs="Arial"/>
          <w:lang w:eastAsia="cs-CZ"/>
        </w:rPr>
        <w:t>dy vzrostla na více než 41,5 %.</w:t>
      </w:r>
    </w:p>
    <w:p w:rsidR="00E54BAE" w:rsidRPr="00D06063" w:rsidRDefault="00E54BAE" w:rsidP="00E54BAE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E54BAE">
      <w:pPr>
        <w:pStyle w:val="Titulek"/>
        <w:rPr>
          <w:rFonts w:eastAsia="Times New Roman" w:cs="Arial"/>
          <w:b w:val="0"/>
          <w:iCs w:val="0"/>
          <w:color w:val="44546A"/>
          <w:lang w:eastAsia="cs-CZ"/>
        </w:rPr>
      </w:pPr>
      <w:bookmarkStart w:id="21" w:name="_Toc256000040"/>
      <w:bookmarkStart w:id="22" w:name="_Toc10036288"/>
      <w:bookmarkEnd w:id="20"/>
      <w:r w:rsidRPr="00D06063">
        <w:rPr>
          <w:rFonts w:cs="Arial"/>
        </w:rPr>
        <w:t xml:space="preserve">Tabulka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Tabulka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3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6C6134">
        <w:rPr>
          <w:rFonts w:cs="Arial"/>
        </w:rPr>
        <w:t xml:space="preserve">– </w:t>
      </w:r>
      <w:r w:rsidRPr="00D06063">
        <w:rPr>
          <w:rFonts w:cs="Arial"/>
        </w:rPr>
        <w:t>Juniorské granty s počátkem řešení 2015</w:t>
      </w:r>
      <w:r w:rsidR="006C6134">
        <w:rPr>
          <w:rFonts w:cs="Arial"/>
        </w:rPr>
        <w:t>–</w:t>
      </w:r>
      <w:r w:rsidRPr="00D06063">
        <w:rPr>
          <w:rFonts w:cs="Arial"/>
        </w:rPr>
        <w:t>2019</w:t>
      </w:r>
      <w:bookmarkEnd w:id="21"/>
      <w:bookmarkEnd w:id="22"/>
    </w:p>
    <w:p w:rsidR="008B186C" w:rsidRDefault="00216728" w:rsidP="0043728B">
      <w:pPr>
        <w:pStyle w:val="podobr"/>
        <w:rPr>
          <w:rFonts w:cs="Arial"/>
        </w:rPr>
      </w:pPr>
      <w:r w:rsidRPr="008B186C">
        <w:rPr>
          <w:noProof/>
        </w:rPr>
        <w:drawing>
          <wp:inline distT="0" distB="0" distL="0" distR="0">
            <wp:extent cx="5759131" cy="819150"/>
            <wp:effectExtent l="0" t="0" r="0" b="0"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97751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7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6F0D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86F0D" w:rsidRPr="00D06063" w:rsidRDefault="00786F0D" w:rsidP="00535636">
      <w:pPr>
        <w:spacing w:line="271" w:lineRule="auto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535636">
      <w:pPr>
        <w:spacing w:after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 xml:space="preserve">Většina juniorských projektů byla požadována na dobu 3 let. Počet financovaných juniorských </w:t>
      </w:r>
      <w:r w:rsidRPr="00D06063">
        <w:rPr>
          <w:rFonts w:cs="Arial"/>
          <w:lang w:eastAsia="cs-CZ"/>
        </w:rPr>
        <w:t>projektů, jejichž doba řešení byla stanovena na 2 roky, byl za období 2015–2019 celkem 8. Jedná se o řešení 3 projektů z roku 2017, 2 projektů z roku 2015 a po jednom projektu z let 2016, 2018 a 2019.</w:t>
      </w:r>
    </w:p>
    <w:p w:rsidR="00786F0D" w:rsidRPr="00D06063" w:rsidRDefault="00786F0D" w:rsidP="00786F0D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E54BAE">
      <w:pPr>
        <w:pStyle w:val="Titulek"/>
        <w:rPr>
          <w:rFonts w:eastAsia="Times New Roman" w:cs="Arial"/>
          <w:b w:val="0"/>
          <w:iCs w:val="0"/>
          <w:color w:val="44546A"/>
          <w:lang w:eastAsia="cs-CZ"/>
        </w:rPr>
      </w:pPr>
      <w:bookmarkStart w:id="23" w:name="_Toc256000017"/>
      <w:bookmarkStart w:id="24" w:name="_Toc10036265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3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C74A46">
        <w:rPr>
          <w:rFonts w:cs="Arial"/>
        </w:rPr>
        <w:t xml:space="preserve">– </w:t>
      </w:r>
      <w:r w:rsidRPr="00D06063">
        <w:rPr>
          <w:rFonts w:cs="Arial"/>
        </w:rPr>
        <w:t>Vývoj průměrných nákla</w:t>
      </w:r>
      <w:r w:rsidRPr="00D06063">
        <w:rPr>
          <w:rFonts w:cs="Arial"/>
        </w:rPr>
        <w:t>dů na 1. rok řešení a na celou dobu řešení na financovaný juniorský projekt s počátkem řešení 2015–2019 (v tis. Kč)</w:t>
      </w:r>
      <w:bookmarkEnd w:id="23"/>
      <w:bookmarkEnd w:id="24"/>
    </w:p>
    <w:p w:rsidR="00786F0D" w:rsidRPr="00D06063" w:rsidRDefault="00216728" w:rsidP="00786F0D">
      <w:pPr>
        <w:spacing w:after="0" w:line="271" w:lineRule="auto"/>
        <w:ind w:hanging="142"/>
        <w:rPr>
          <w:rFonts w:eastAsia="Times New Roman" w:cs="Arial"/>
          <w:szCs w:val="24"/>
          <w:lang w:eastAsia="cs-CZ"/>
        </w:rPr>
      </w:pPr>
      <w:r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6120765" cy="2786380"/>
            <wp:effectExtent l="0" t="0" r="0" b="0"/>
            <wp:docPr id="103190829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007544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78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F0D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86F0D" w:rsidRPr="00D06063" w:rsidRDefault="00786F0D" w:rsidP="00786F0D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535636">
      <w:pPr>
        <w:pStyle w:val="Nadpis2"/>
        <w:numPr>
          <w:ilvl w:val="1"/>
          <w:numId w:val="13"/>
        </w:numPr>
        <w:rPr>
          <w:rFonts w:eastAsia="Times New Roman" w:cs="Arial"/>
          <w:lang w:eastAsia="cs-CZ"/>
        </w:rPr>
      </w:pPr>
      <w:bookmarkStart w:id="25" w:name="_Toc7650696"/>
      <w:r w:rsidRPr="00D06063">
        <w:rPr>
          <w:rFonts w:eastAsia="Times New Roman" w:cs="Arial"/>
          <w:lang w:eastAsia="cs-CZ"/>
        </w:rPr>
        <w:t xml:space="preserve"> </w:t>
      </w:r>
      <w:r w:rsidR="00257EA5">
        <w:rPr>
          <w:rFonts w:eastAsia="Times New Roman" w:cs="Arial"/>
          <w:lang w:eastAsia="cs-CZ"/>
        </w:rPr>
        <w:t xml:space="preserve"> </w:t>
      </w:r>
      <w:bookmarkStart w:id="26" w:name="_Toc256000004"/>
      <w:bookmarkStart w:id="27" w:name="_Toc14183923"/>
      <w:r w:rsidRPr="00D06063">
        <w:rPr>
          <w:rFonts w:eastAsia="Times New Roman" w:cs="Arial"/>
          <w:lang w:eastAsia="cs-CZ"/>
        </w:rPr>
        <w:t>Juniorské granty podle oborů</w:t>
      </w:r>
      <w:bookmarkEnd w:id="25"/>
      <w:bookmarkEnd w:id="26"/>
      <w:bookmarkEnd w:id="27"/>
    </w:p>
    <w:p w:rsidR="00385D1B" w:rsidRPr="00D06063" w:rsidRDefault="00216728" w:rsidP="00535636">
      <w:pPr>
        <w:spacing w:after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>Při rozdělení návrhů juniorských projektů podle oborů bylo ne</w:t>
      </w:r>
      <w:r w:rsidR="00414C65" w:rsidRPr="00D06063">
        <w:rPr>
          <w:rFonts w:cs="Arial"/>
          <w:lang w:eastAsia="cs-CZ"/>
        </w:rPr>
        <w:t>jvíce podáno za obor vědy o </w:t>
      </w:r>
      <w:r w:rsidRPr="00D06063">
        <w:rPr>
          <w:rFonts w:cs="Arial"/>
          <w:lang w:eastAsia="cs-CZ"/>
        </w:rPr>
        <w:t>neživé přírodě (389 návrhů), další jsou lékařské a biologické vědy s 248 návrhy projektů, zemědělské a biologicko-environmentální vědy s 232 návrhy projektů, technické vědy s</w:t>
      </w:r>
      <w:r w:rsidR="00257EA5">
        <w:rPr>
          <w:rFonts w:cs="Arial"/>
          <w:lang w:eastAsia="cs-CZ"/>
        </w:rPr>
        <w:t> </w:t>
      </w:r>
      <w:r w:rsidR="00257EA5" w:rsidRPr="00D06063">
        <w:rPr>
          <w:rFonts w:cs="Arial"/>
          <w:lang w:eastAsia="cs-CZ"/>
        </w:rPr>
        <w:t>223</w:t>
      </w:r>
      <w:r w:rsidR="00257EA5">
        <w:rPr>
          <w:rFonts w:cs="Arial"/>
          <w:lang w:eastAsia="cs-CZ"/>
        </w:rPr>
        <w:t> </w:t>
      </w:r>
      <w:r w:rsidRPr="00D06063">
        <w:rPr>
          <w:rFonts w:cs="Arial"/>
          <w:lang w:eastAsia="cs-CZ"/>
        </w:rPr>
        <w:t>návrhy projektů a s nejnižším počtem podaných návrhů (161), společenské a hum</w:t>
      </w:r>
      <w:r w:rsidRPr="00D06063">
        <w:rPr>
          <w:rFonts w:cs="Arial"/>
          <w:lang w:eastAsia="cs-CZ"/>
        </w:rPr>
        <w:t>anitní vědy. V rámci oborů nejvíce grantů získal obor věd o neživé přírodě (133).</w:t>
      </w:r>
      <w:bookmarkStart w:id="28" w:name="_Toc7650717"/>
    </w:p>
    <w:p w:rsidR="007B40A2" w:rsidRPr="00D06063" w:rsidRDefault="007B40A2" w:rsidP="007B40A2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E54BAE">
      <w:pPr>
        <w:pStyle w:val="Titulek"/>
        <w:rPr>
          <w:rFonts w:eastAsia="Times New Roman" w:cs="Arial"/>
          <w:b w:val="0"/>
          <w:iCs w:val="0"/>
          <w:color w:val="44546A"/>
          <w:lang w:eastAsia="cs-CZ"/>
        </w:rPr>
      </w:pPr>
      <w:bookmarkStart w:id="29" w:name="_Toc256000041"/>
      <w:bookmarkStart w:id="30" w:name="_Toc10036289"/>
      <w:bookmarkEnd w:id="28"/>
      <w:r w:rsidRPr="00D06063">
        <w:rPr>
          <w:rFonts w:cs="Arial"/>
        </w:rPr>
        <w:t xml:space="preserve">Tabulka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Tabulka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4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257EA5">
        <w:rPr>
          <w:rFonts w:cs="Arial"/>
        </w:rPr>
        <w:t xml:space="preserve">– </w:t>
      </w:r>
      <w:r w:rsidRPr="00D06063">
        <w:rPr>
          <w:rFonts w:cs="Arial"/>
        </w:rPr>
        <w:t>Vývoj počtu hodnocených a financovaných juniorských grantů podle oborů s počátkem řešení 2015</w:t>
      </w:r>
      <w:r w:rsidR="00257EA5">
        <w:rPr>
          <w:rFonts w:cs="Arial"/>
        </w:rPr>
        <w:t>–</w:t>
      </w:r>
      <w:r w:rsidRPr="00D06063">
        <w:rPr>
          <w:rFonts w:cs="Arial"/>
        </w:rPr>
        <w:t>2019</w:t>
      </w:r>
      <w:bookmarkEnd w:id="29"/>
      <w:bookmarkEnd w:id="30"/>
    </w:p>
    <w:p w:rsidR="008B186C" w:rsidRDefault="00216728" w:rsidP="0043728B">
      <w:pPr>
        <w:pStyle w:val="podobr"/>
        <w:rPr>
          <w:rFonts w:cs="Arial"/>
        </w:rPr>
      </w:pPr>
      <w:r w:rsidRPr="008B186C">
        <w:rPr>
          <w:noProof/>
        </w:rPr>
        <w:drawing>
          <wp:inline distT="0" distB="0" distL="0" distR="0">
            <wp:extent cx="5759883" cy="2743200"/>
            <wp:effectExtent l="0" t="0" r="0" b="0"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869738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6F0D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B40A2" w:rsidRDefault="007B40A2" w:rsidP="00A817D7">
      <w:pPr>
        <w:pStyle w:val="Titulek"/>
        <w:spacing w:after="0"/>
        <w:rPr>
          <w:rFonts w:cs="Arial"/>
        </w:rPr>
      </w:pPr>
    </w:p>
    <w:p w:rsidR="00B43C28" w:rsidRPr="007B0CD3" w:rsidRDefault="00B43C28" w:rsidP="00535636">
      <w:pPr>
        <w:spacing w:after="0"/>
      </w:pPr>
    </w:p>
    <w:p w:rsidR="00786F0D" w:rsidRPr="00D06063" w:rsidRDefault="00216728" w:rsidP="00E54BAE">
      <w:pPr>
        <w:pStyle w:val="Titulek"/>
        <w:rPr>
          <w:rFonts w:eastAsia="Times New Roman" w:cs="Arial"/>
          <w:b w:val="0"/>
          <w:iCs w:val="0"/>
          <w:color w:val="44546A"/>
          <w:lang w:eastAsia="cs-CZ"/>
        </w:rPr>
      </w:pPr>
      <w:bookmarkStart w:id="31" w:name="_Toc256000018"/>
      <w:bookmarkStart w:id="32" w:name="_Toc10036266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4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B43C28">
        <w:rPr>
          <w:rFonts w:cs="Arial"/>
        </w:rPr>
        <w:t xml:space="preserve">– </w:t>
      </w:r>
      <w:r w:rsidRPr="00D06063">
        <w:rPr>
          <w:rFonts w:cs="Arial"/>
        </w:rPr>
        <w:t>Vývoj úspěšnosti juniorských grantů podle oborů s počátkem řešení 2015–2019</w:t>
      </w:r>
      <w:bookmarkEnd w:id="31"/>
      <w:bookmarkEnd w:id="32"/>
    </w:p>
    <w:p w:rsidR="00786F0D" w:rsidRPr="00D06063" w:rsidRDefault="00216728" w:rsidP="00535636">
      <w:pPr>
        <w:spacing w:after="0" w:line="271" w:lineRule="auto"/>
        <w:jc w:val="center"/>
        <w:rPr>
          <w:rFonts w:eastAsia="Times New Roman" w:cs="Arial"/>
          <w:b/>
          <w:iCs/>
          <w:color w:val="44546A"/>
          <w:szCs w:val="18"/>
          <w:lang w:eastAsia="cs-CZ"/>
        </w:rPr>
      </w:pPr>
      <w:r>
        <w:rPr>
          <w:rFonts w:eastAsia="Times New Roman" w:cs="Arial"/>
          <w:b/>
          <w:iCs/>
          <w:noProof/>
          <w:color w:val="44546A"/>
          <w:szCs w:val="18"/>
          <w:lang w:eastAsia="cs-CZ"/>
        </w:rPr>
        <w:drawing>
          <wp:inline distT="0" distB="0" distL="0" distR="0">
            <wp:extent cx="5761355" cy="303593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17026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035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F0D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86F0D" w:rsidRPr="00D06063" w:rsidRDefault="00216728" w:rsidP="00E54BAE">
      <w:pPr>
        <w:pStyle w:val="Titulek"/>
        <w:rPr>
          <w:rFonts w:eastAsia="Times New Roman" w:cs="Arial"/>
          <w:b w:val="0"/>
          <w:iCs w:val="0"/>
          <w:color w:val="44546A"/>
          <w:lang w:eastAsia="cs-CZ"/>
        </w:rPr>
      </w:pPr>
      <w:bookmarkStart w:id="33" w:name="_Toc256000019"/>
      <w:bookmarkStart w:id="34" w:name="_Toc10036267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5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B43C28">
        <w:rPr>
          <w:rFonts w:cs="Arial"/>
        </w:rPr>
        <w:t xml:space="preserve">– </w:t>
      </w:r>
      <w:r w:rsidRPr="00D06063">
        <w:rPr>
          <w:rFonts w:cs="Arial"/>
        </w:rPr>
        <w:t>Vývoj průměrných nákladů na 1. rok řešení (v tis. Kč) na financovaný juniorský projekt s počátkem řešení 2</w:t>
      </w:r>
      <w:r w:rsidRPr="00D06063">
        <w:rPr>
          <w:rFonts w:cs="Arial"/>
        </w:rPr>
        <w:t>015–2019 podle oborů</w:t>
      </w:r>
      <w:bookmarkEnd w:id="33"/>
      <w:bookmarkEnd w:id="34"/>
    </w:p>
    <w:p w:rsidR="00786F0D" w:rsidRPr="00D06063" w:rsidRDefault="00216728">
      <w:pPr>
        <w:spacing w:after="0" w:line="271" w:lineRule="auto"/>
        <w:rPr>
          <w:rFonts w:eastAsia="Times New Roman" w:cs="Arial"/>
          <w:szCs w:val="24"/>
          <w:lang w:eastAsia="cs-CZ"/>
        </w:rPr>
      </w:pPr>
      <w:r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5761355" cy="3078480"/>
            <wp:effectExtent l="0" t="0" r="0" b="762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529002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07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F0D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B40A2" w:rsidRDefault="007B40A2" w:rsidP="00535636">
      <w:pPr>
        <w:pStyle w:val="Titulek"/>
        <w:spacing w:after="0"/>
        <w:rPr>
          <w:rFonts w:cs="Arial"/>
        </w:rPr>
      </w:pPr>
    </w:p>
    <w:p w:rsidR="00B43C28" w:rsidRPr="007B0CD3" w:rsidRDefault="00B43C28" w:rsidP="00535636">
      <w:pPr>
        <w:spacing w:after="0"/>
      </w:pPr>
    </w:p>
    <w:p w:rsidR="00786F0D" w:rsidRPr="00D06063" w:rsidRDefault="00216728" w:rsidP="00E54BAE">
      <w:pPr>
        <w:pStyle w:val="Titulek"/>
        <w:rPr>
          <w:rFonts w:eastAsia="Times New Roman" w:cs="Arial"/>
          <w:b w:val="0"/>
          <w:iCs w:val="0"/>
          <w:color w:val="44546A"/>
          <w:lang w:eastAsia="cs-CZ"/>
        </w:rPr>
      </w:pPr>
      <w:bookmarkStart w:id="35" w:name="_Toc256000042"/>
      <w:bookmarkStart w:id="36" w:name="_Toc10036290"/>
      <w:r w:rsidRPr="00D06063">
        <w:rPr>
          <w:rFonts w:cs="Arial"/>
        </w:rPr>
        <w:t xml:space="preserve">Tabulka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Tabulka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5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B43C28">
        <w:rPr>
          <w:rFonts w:cs="Arial"/>
        </w:rPr>
        <w:t xml:space="preserve">– </w:t>
      </w:r>
      <w:r w:rsidRPr="00D06063">
        <w:rPr>
          <w:rFonts w:cs="Arial"/>
        </w:rPr>
        <w:t>Průměrné náklady na celou dobu řešení na 3letý financovaný juniorský projekt za období 2015–2019 podle oborů</w:t>
      </w:r>
      <w:bookmarkEnd w:id="35"/>
      <w:bookmarkEnd w:id="36"/>
    </w:p>
    <w:p w:rsidR="008B186C" w:rsidRDefault="00216728" w:rsidP="0043728B">
      <w:pPr>
        <w:pStyle w:val="podobr"/>
        <w:rPr>
          <w:rFonts w:cs="Arial"/>
        </w:rPr>
      </w:pPr>
      <w:r w:rsidRPr="008B186C">
        <w:rPr>
          <w:noProof/>
        </w:rPr>
        <w:drawing>
          <wp:inline distT="0" distB="0" distL="0" distR="0">
            <wp:extent cx="5759051" cy="1762125"/>
            <wp:effectExtent l="0" t="0" r="0" b="0"/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466993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6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86F0D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86F0D" w:rsidRPr="00D06063" w:rsidRDefault="00786F0D" w:rsidP="00786F0D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535636">
      <w:pPr>
        <w:pStyle w:val="Nadpis2"/>
        <w:ind w:left="1080"/>
        <w:rPr>
          <w:rFonts w:eastAsia="Times New Roman" w:cs="Arial"/>
          <w:lang w:eastAsia="cs-CZ"/>
        </w:rPr>
      </w:pPr>
      <w:bookmarkStart w:id="37" w:name="_Toc256000005"/>
      <w:bookmarkStart w:id="38" w:name="_Toc7650697"/>
      <w:bookmarkStart w:id="39" w:name="_Toc14183924"/>
      <w:r>
        <w:rPr>
          <w:rFonts w:eastAsia="Times New Roman" w:cs="Arial"/>
          <w:lang w:eastAsia="cs-CZ"/>
        </w:rPr>
        <w:t>3.2 Juniorské</w:t>
      </w:r>
      <w:r w:rsidRPr="00D06063">
        <w:rPr>
          <w:rFonts w:eastAsia="Times New Roman" w:cs="Arial"/>
          <w:lang w:eastAsia="cs-CZ"/>
        </w:rPr>
        <w:t xml:space="preserve"> granty podle uchazečů</w:t>
      </w:r>
      <w:bookmarkEnd w:id="37"/>
      <w:bookmarkEnd w:id="38"/>
      <w:bookmarkEnd w:id="39"/>
    </w:p>
    <w:p w:rsidR="00786F0D" w:rsidRPr="00D06063" w:rsidRDefault="00216728" w:rsidP="00414C65">
      <w:pPr>
        <w:rPr>
          <w:rFonts w:cs="Arial"/>
          <w:lang w:eastAsia="cs-CZ"/>
        </w:rPr>
      </w:pPr>
      <w:r w:rsidRPr="00D06063">
        <w:rPr>
          <w:rFonts w:cs="Arial"/>
          <w:lang w:eastAsia="cs-CZ"/>
        </w:rPr>
        <w:t>V případě rozdělení</w:t>
      </w:r>
      <w:r w:rsidRPr="00D06063">
        <w:rPr>
          <w:rFonts w:cs="Arial"/>
          <w:lang w:eastAsia="cs-CZ"/>
        </w:rPr>
        <w:t xml:space="preserve"> návrhů projektů podle uchazečů posuzovala GA ČR 761 návrhů projektů z veřejných vysokých škol, 445 návrhů projektů z ústavů Akademie věd ČR, 29 návrhů projektů z kategorie jiné (nemocnice, knihovny, muzea, příspěvkové organizace, spolky, galerie, nadace, </w:t>
      </w:r>
      <w:r w:rsidRPr="00D06063">
        <w:rPr>
          <w:rFonts w:cs="Arial"/>
          <w:lang w:eastAsia="cs-CZ"/>
        </w:rPr>
        <w:t>organizační složky státu), 12 návrhů projektů z v.</w:t>
      </w:r>
      <w:r w:rsidR="00C516A8">
        <w:rPr>
          <w:rFonts w:cs="Arial"/>
          <w:lang w:eastAsia="cs-CZ"/>
        </w:rPr>
        <w:t xml:space="preserve"> </w:t>
      </w:r>
      <w:r w:rsidRPr="00D06063">
        <w:rPr>
          <w:rFonts w:cs="Arial"/>
          <w:lang w:eastAsia="cs-CZ"/>
        </w:rPr>
        <w:t>v.</w:t>
      </w:r>
      <w:r w:rsidR="00C516A8">
        <w:rPr>
          <w:rFonts w:cs="Arial"/>
          <w:lang w:eastAsia="cs-CZ"/>
        </w:rPr>
        <w:t xml:space="preserve"> </w:t>
      </w:r>
      <w:r w:rsidRPr="00D06063">
        <w:rPr>
          <w:rFonts w:cs="Arial"/>
          <w:lang w:eastAsia="cs-CZ"/>
        </w:rPr>
        <w:t>i. jiných než ústavů Akademie věd ČR, 5 návrhů projektů ze soukromých vysokých škol a 1 návrh projektu z kategorie soukromé (fyzické osoby, společnosti s ručením omezeným, akciové společnosti, obecně pr</w:t>
      </w:r>
      <w:r w:rsidRPr="00D06063">
        <w:rPr>
          <w:rFonts w:cs="Arial"/>
          <w:lang w:eastAsia="cs-CZ"/>
        </w:rPr>
        <w:t>ospěšné společnosti, zapsané ústavy). Ze 404 financovaných juniorských projektů bylo nejvíce z veřejných vysokých škol (226) a z ústavů Akademie věd ČR (164).</w:t>
      </w:r>
    </w:p>
    <w:p w:rsidR="00786F0D" w:rsidRDefault="00216728" w:rsidP="00535636">
      <w:pPr>
        <w:spacing w:after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 xml:space="preserve">V průběhu sledovaného období mají počty udělených grantů rostoucí tendenci, </w:t>
      </w:r>
      <w:r w:rsidR="00677C07">
        <w:rPr>
          <w:rFonts w:cs="Arial"/>
          <w:lang w:eastAsia="cs-CZ"/>
        </w:rPr>
        <w:t>s výjimkou roku</w:t>
      </w:r>
      <w:r w:rsidRPr="00D06063">
        <w:rPr>
          <w:rFonts w:cs="Arial"/>
          <w:lang w:eastAsia="cs-CZ"/>
        </w:rPr>
        <w:t xml:space="preserve"> 2018,</w:t>
      </w:r>
      <w:r w:rsidRPr="00D06063">
        <w:rPr>
          <w:rFonts w:cs="Arial"/>
          <w:lang w:eastAsia="cs-CZ"/>
        </w:rPr>
        <w:t xml:space="preserve"> kdy došlo k poklesu financovaných projektů. Největší meziroční nárůst byl zaznamenán v roce 2019, kdy počet financovaných projektů vzrostl o téměř 59 % (40 grantů). V rámci ústavů Akademie věd ČR bylo v roce 2019 uděleno o 24 grantů více než v předchozím </w:t>
      </w:r>
      <w:r w:rsidRPr="00D06063">
        <w:rPr>
          <w:rFonts w:cs="Arial"/>
          <w:lang w:eastAsia="cs-CZ"/>
        </w:rPr>
        <w:t xml:space="preserve">roce, tj. nárůst o 96 %. </w:t>
      </w:r>
    </w:p>
    <w:p w:rsidR="000A0F32" w:rsidRPr="00D06063" w:rsidRDefault="000A0F32" w:rsidP="00535636">
      <w:pPr>
        <w:spacing w:after="0"/>
        <w:rPr>
          <w:rFonts w:cs="Arial"/>
          <w:lang w:eastAsia="cs-CZ"/>
        </w:rPr>
      </w:pPr>
    </w:p>
    <w:p w:rsidR="00786F0D" w:rsidRDefault="00216728" w:rsidP="00414C65">
      <w:pPr>
        <w:pStyle w:val="Titulek"/>
        <w:rPr>
          <w:rFonts w:cs="Arial"/>
        </w:rPr>
      </w:pPr>
      <w:bookmarkStart w:id="40" w:name="_Toc256000043"/>
      <w:bookmarkStart w:id="41" w:name="_Toc10036291"/>
      <w:r w:rsidRPr="00D06063">
        <w:rPr>
          <w:rFonts w:cs="Arial"/>
        </w:rPr>
        <w:t xml:space="preserve">Tabulka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Tabulka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6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1D3653">
        <w:rPr>
          <w:rFonts w:cs="Arial"/>
        </w:rPr>
        <w:t xml:space="preserve">– </w:t>
      </w:r>
      <w:r w:rsidRPr="00D06063">
        <w:rPr>
          <w:rFonts w:cs="Arial"/>
        </w:rPr>
        <w:t>Vývoj počtu hodnocených a financovaných juniorských grantů podle uchazečů s počátkem řešení 2015</w:t>
      </w:r>
      <w:r w:rsidR="00A33F0F">
        <w:rPr>
          <w:rFonts w:cs="Arial"/>
        </w:rPr>
        <w:t>–</w:t>
      </w:r>
      <w:r w:rsidRPr="00D06063">
        <w:rPr>
          <w:rFonts w:cs="Arial"/>
        </w:rPr>
        <w:t>2019</w:t>
      </w:r>
      <w:bookmarkEnd w:id="40"/>
      <w:bookmarkEnd w:id="41"/>
    </w:p>
    <w:p w:rsidR="00A33F0F" w:rsidRPr="00A33F0F" w:rsidRDefault="00216728" w:rsidP="00535636">
      <w:pPr>
        <w:spacing w:after="0"/>
      </w:pPr>
      <w:r>
        <w:rPr>
          <w:noProof/>
          <w:lang w:eastAsia="cs-CZ"/>
        </w:rPr>
        <w:drawing>
          <wp:inline distT="0" distB="0" distL="0" distR="0">
            <wp:extent cx="5760720" cy="183261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578533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3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F0D" w:rsidRPr="00D06063" w:rsidRDefault="00216728" w:rsidP="00414C65">
      <w:pPr>
        <w:pStyle w:val="Poznmka"/>
        <w:rPr>
          <w:rFonts w:eastAsia="Times New Roman" w:cs="Arial"/>
        </w:rPr>
      </w:pPr>
      <w:r w:rsidRPr="00D06063">
        <w:rPr>
          <w:rFonts w:eastAsia="Times New Roman" w:cs="Arial"/>
        </w:rPr>
        <w:t xml:space="preserve">jiné: nemocnice, knihovny, muzea, příspěvkové organizace, spolky, galerie, nadace, </w:t>
      </w:r>
      <w:r w:rsidRPr="00D06063">
        <w:rPr>
          <w:rFonts w:eastAsia="Times New Roman" w:cs="Arial"/>
        </w:rPr>
        <w:t>organizační složky státu</w:t>
      </w:r>
    </w:p>
    <w:p w:rsidR="00786F0D" w:rsidRPr="00D06063" w:rsidRDefault="00216728" w:rsidP="00414C65">
      <w:pPr>
        <w:pStyle w:val="Poznmka"/>
        <w:rPr>
          <w:rFonts w:eastAsia="Times New Roman" w:cs="Arial"/>
        </w:rPr>
      </w:pPr>
      <w:r w:rsidRPr="00D06063">
        <w:rPr>
          <w:rFonts w:eastAsia="Times New Roman" w:cs="Arial"/>
        </w:rPr>
        <w:t>soukromé: fyzické osoby, společnosti s ručením omezeným, akciové společnosti, obecně prospěšné společnosti, zapsané ústavy</w:t>
      </w:r>
    </w:p>
    <w:p w:rsidR="00FF2679" w:rsidRPr="00D06063" w:rsidRDefault="00216728" w:rsidP="00FF2679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86F0D" w:rsidRPr="00D06063" w:rsidRDefault="00786F0D" w:rsidP="00535636">
      <w:pPr>
        <w:spacing w:line="271" w:lineRule="auto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D06063">
      <w:pPr>
        <w:rPr>
          <w:rFonts w:cs="Arial"/>
          <w:lang w:eastAsia="cs-CZ"/>
        </w:rPr>
      </w:pPr>
      <w:r w:rsidRPr="00D06063">
        <w:rPr>
          <w:rFonts w:cs="Arial"/>
          <w:lang w:eastAsia="cs-CZ"/>
        </w:rPr>
        <w:t>Ve struktuře financovaných juniorských projektů s počátkem řešení 2015–2019 dominují veřejné v</w:t>
      </w:r>
      <w:r w:rsidRPr="00D06063">
        <w:rPr>
          <w:rFonts w:cs="Arial"/>
          <w:lang w:eastAsia="cs-CZ"/>
        </w:rPr>
        <w:t xml:space="preserve">ysoké školy, které dosahují v roce 2016 skoro 64 % všech financovaných juniorských projektů. V průběhu celého sledovaného období zaujímají veřejné vysoké školy vždy první místo, jako druhou zastupující skupinou jsou ústavy Akademie věd ČR. Naopak nejnižší </w:t>
      </w:r>
      <w:r w:rsidRPr="00D06063">
        <w:rPr>
          <w:rFonts w:cs="Arial"/>
          <w:lang w:eastAsia="cs-CZ"/>
        </w:rPr>
        <w:t>podíl z celku mají soukromé vysoké školy, v.</w:t>
      </w:r>
      <w:r w:rsidR="000A0F32">
        <w:rPr>
          <w:rFonts w:cs="Arial"/>
          <w:lang w:eastAsia="cs-CZ"/>
        </w:rPr>
        <w:t xml:space="preserve"> </w:t>
      </w:r>
      <w:r w:rsidRPr="00D06063">
        <w:rPr>
          <w:rFonts w:cs="Arial"/>
          <w:lang w:eastAsia="cs-CZ"/>
        </w:rPr>
        <w:t>v.</w:t>
      </w:r>
      <w:r w:rsidR="000A0F32">
        <w:rPr>
          <w:rFonts w:cs="Arial"/>
          <w:lang w:eastAsia="cs-CZ"/>
        </w:rPr>
        <w:t xml:space="preserve"> </w:t>
      </w:r>
      <w:r w:rsidRPr="00D06063">
        <w:rPr>
          <w:rFonts w:cs="Arial"/>
          <w:lang w:eastAsia="cs-CZ"/>
        </w:rPr>
        <w:t>i. jiné než ústavy Akademie věd ČR a kategori</w:t>
      </w:r>
      <w:r w:rsidR="00E54BAE" w:rsidRPr="00D06063">
        <w:rPr>
          <w:rFonts w:cs="Arial"/>
          <w:lang w:eastAsia="cs-CZ"/>
        </w:rPr>
        <w:t>e soukromé. V roce 2016 došlo k </w:t>
      </w:r>
      <w:r w:rsidRPr="00D06063">
        <w:rPr>
          <w:rFonts w:cs="Arial"/>
          <w:lang w:eastAsia="cs-CZ"/>
        </w:rPr>
        <w:t>poklesu podílu financovaných projektů z ústavů Akademie věd ČR, a to i přesto že počet grantů zůstal konstantní s předchozím rokem.</w:t>
      </w:r>
    </w:p>
    <w:p w:rsidR="00786F0D" w:rsidRPr="00D06063" w:rsidRDefault="00216728" w:rsidP="00E54BAE">
      <w:pPr>
        <w:pStyle w:val="Titulek"/>
        <w:rPr>
          <w:rFonts w:eastAsia="Times New Roman" w:cs="Arial"/>
          <w:b w:val="0"/>
          <w:iCs w:val="0"/>
          <w:color w:val="44546A"/>
          <w:lang w:eastAsia="cs-CZ"/>
        </w:rPr>
      </w:pPr>
      <w:bookmarkStart w:id="42" w:name="_Toc256000020"/>
      <w:bookmarkStart w:id="43" w:name="_Toc10036268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6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0A0F32">
        <w:rPr>
          <w:rFonts w:cs="Arial"/>
        </w:rPr>
        <w:t xml:space="preserve">– </w:t>
      </w:r>
      <w:r w:rsidRPr="00D06063">
        <w:rPr>
          <w:rFonts w:cs="Arial"/>
        </w:rPr>
        <w:t>Podíl financovaných juniorských projektů s počátkem řešení 2015</w:t>
      </w:r>
      <w:r w:rsidR="000A0F32">
        <w:rPr>
          <w:rFonts w:cs="Arial"/>
        </w:rPr>
        <w:t>–</w:t>
      </w:r>
      <w:r w:rsidRPr="00D06063">
        <w:rPr>
          <w:rFonts w:cs="Arial"/>
        </w:rPr>
        <w:t>2019 podle příjemců</w:t>
      </w:r>
      <w:bookmarkEnd w:id="42"/>
      <w:bookmarkEnd w:id="43"/>
    </w:p>
    <w:p w:rsidR="00786F0D" w:rsidRPr="00D06063" w:rsidRDefault="00216728" w:rsidP="00535636">
      <w:pPr>
        <w:spacing w:after="0" w:line="271" w:lineRule="auto"/>
        <w:rPr>
          <w:rFonts w:eastAsia="Times New Roman" w:cs="Arial"/>
          <w:b/>
          <w:iCs/>
          <w:color w:val="44546A"/>
          <w:szCs w:val="18"/>
          <w:lang w:eastAsia="cs-CZ"/>
        </w:rPr>
      </w:pPr>
      <w:r>
        <w:rPr>
          <w:rFonts w:eastAsia="Times New Roman" w:cs="Arial"/>
          <w:b/>
          <w:iCs/>
          <w:noProof/>
          <w:color w:val="44546A"/>
          <w:szCs w:val="18"/>
          <w:lang w:eastAsia="cs-CZ"/>
        </w:rPr>
        <w:drawing>
          <wp:inline distT="0" distB="0" distL="0" distR="0">
            <wp:extent cx="5761355" cy="2231390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211347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F0D" w:rsidRPr="00D06063" w:rsidRDefault="00216728" w:rsidP="00414C65">
      <w:pPr>
        <w:pStyle w:val="Poznmka"/>
        <w:rPr>
          <w:rFonts w:eastAsia="Times New Roman" w:cs="Arial"/>
        </w:rPr>
      </w:pPr>
      <w:r w:rsidRPr="00D06063">
        <w:rPr>
          <w:rFonts w:eastAsia="Times New Roman" w:cs="Arial"/>
        </w:rPr>
        <w:t>jiné: nemocnice, knihovny, muzea, příspěvkové organizace, spolky, galerie, nadace, organizační složky státu</w:t>
      </w:r>
    </w:p>
    <w:p w:rsidR="00786F0D" w:rsidRPr="00D06063" w:rsidRDefault="00216728" w:rsidP="00414C65">
      <w:pPr>
        <w:pStyle w:val="Poznmka"/>
        <w:rPr>
          <w:rFonts w:eastAsia="Times New Roman" w:cs="Arial"/>
        </w:rPr>
      </w:pPr>
      <w:r w:rsidRPr="00D06063">
        <w:rPr>
          <w:rFonts w:eastAsia="Times New Roman" w:cs="Arial"/>
        </w:rPr>
        <w:t xml:space="preserve">soukromé: fyzické osoby, </w:t>
      </w:r>
      <w:r w:rsidRPr="00D06063">
        <w:rPr>
          <w:rFonts w:eastAsia="Times New Roman" w:cs="Arial"/>
        </w:rPr>
        <w:t>společnosti s ručením omezeným, akciové společnosti, obecně prospěšné společnosti, zapsané ústavy</w:t>
      </w:r>
    </w:p>
    <w:p w:rsidR="00FF2679" w:rsidRPr="00D06063" w:rsidRDefault="00216728" w:rsidP="00FF2679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86F0D" w:rsidRDefault="00216728" w:rsidP="00535636">
      <w:pPr>
        <w:spacing w:after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>Data pro úspěšnost juniorských projektů v kategorie jiné, v.</w:t>
      </w:r>
      <w:r w:rsidR="00FF2679">
        <w:rPr>
          <w:rFonts w:cs="Arial"/>
          <w:lang w:eastAsia="cs-CZ"/>
        </w:rPr>
        <w:t xml:space="preserve"> </w:t>
      </w:r>
      <w:r w:rsidRPr="00D06063">
        <w:rPr>
          <w:rFonts w:cs="Arial"/>
          <w:lang w:eastAsia="cs-CZ"/>
        </w:rPr>
        <w:t>v.</w:t>
      </w:r>
      <w:r w:rsidR="00FF2679">
        <w:rPr>
          <w:rFonts w:cs="Arial"/>
          <w:lang w:eastAsia="cs-CZ"/>
        </w:rPr>
        <w:t xml:space="preserve"> </w:t>
      </w:r>
      <w:r w:rsidRPr="00D06063">
        <w:rPr>
          <w:rFonts w:cs="Arial"/>
          <w:lang w:eastAsia="cs-CZ"/>
        </w:rPr>
        <w:t>i. jiných než ústavů Akademie věd ČR, soukromých vysokých škol a kategorie soukro</w:t>
      </w:r>
      <w:r w:rsidRPr="00D06063">
        <w:rPr>
          <w:rFonts w:cs="Arial"/>
          <w:lang w:eastAsia="cs-CZ"/>
        </w:rPr>
        <w:t>mé nejsou statisticky významná</w:t>
      </w:r>
      <w:r w:rsidR="00D06063" w:rsidRPr="00D06063">
        <w:rPr>
          <w:rFonts w:cs="Arial"/>
          <w:lang w:eastAsia="cs-CZ"/>
        </w:rPr>
        <w:t>. V </w:t>
      </w:r>
      <w:r w:rsidRPr="00D06063">
        <w:rPr>
          <w:rFonts w:cs="Arial"/>
          <w:lang w:eastAsia="cs-CZ"/>
        </w:rPr>
        <w:t xml:space="preserve">letech 2015–2019 dosahují ústavy Akademie věd ČR vyšší úspěšnosti juniorských </w:t>
      </w:r>
      <w:r w:rsidR="00535636" w:rsidRPr="00D06063">
        <w:rPr>
          <w:rFonts w:cs="Arial"/>
          <w:lang w:eastAsia="cs-CZ"/>
        </w:rPr>
        <w:t>projektů,</w:t>
      </w:r>
      <w:r w:rsidRPr="00D06063">
        <w:rPr>
          <w:rFonts w:cs="Arial"/>
          <w:lang w:eastAsia="cs-CZ"/>
        </w:rPr>
        <w:t xml:space="preserve"> než je průměr GA ČR. Naopak veřejné vysoké školy jsou většinou umístěny pod </w:t>
      </w:r>
      <w:r w:rsidR="007B40A2" w:rsidRPr="00D06063">
        <w:rPr>
          <w:rFonts w:cs="Arial"/>
          <w:lang w:eastAsia="cs-CZ"/>
        </w:rPr>
        <w:t>průměrem GA ČR, jak lze vidět z </w:t>
      </w:r>
      <w:r w:rsidRPr="00D06063">
        <w:rPr>
          <w:rFonts w:cs="Arial"/>
          <w:lang w:eastAsia="cs-CZ"/>
        </w:rPr>
        <w:t>následujícího grafu.</w:t>
      </w:r>
    </w:p>
    <w:p w:rsidR="00715E37" w:rsidRDefault="00715E37" w:rsidP="00535636">
      <w:pPr>
        <w:spacing w:after="0"/>
        <w:rPr>
          <w:rFonts w:cs="Arial"/>
          <w:lang w:eastAsia="cs-CZ"/>
        </w:rPr>
      </w:pPr>
    </w:p>
    <w:p w:rsidR="00D06063" w:rsidRPr="00D06063" w:rsidRDefault="00216728" w:rsidP="00D06063">
      <w:pPr>
        <w:pStyle w:val="Titulek"/>
        <w:rPr>
          <w:rFonts w:eastAsia="Times New Roman" w:cs="Arial"/>
          <w:b w:val="0"/>
          <w:iCs w:val="0"/>
          <w:color w:val="auto"/>
          <w:szCs w:val="24"/>
          <w:lang w:eastAsia="cs-CZ"/>
        </w:rPr>
      </w:pPr>
      <w:bookmarkStart w:id="44" w:name="_Toc256000021"/>
      <w:bookmarkStart w:id="45" w:name="_Toc10036269"/>
      <w:r w:rsidRPr="00D06063">
        <w:rPr>
          <w:rFonts w:cs="Arial"/>
        </w:rPr>
        <w:t>Graf</w:t>
      </w:r>
      <w:r w:rsidRPr="00D06063">
        <w:rPr>
          <w:rFonts w:cs="Arial"/>
        </w:rPr>
        <w:t xml:space="preserve"> </w:t>
      </w:r>
      <w:r w:rsidRPr="00D06063">
        <w:rPr>
          <w:rFonts w:cs="Arial"/>
        </w:rPr>
        <w:fldChar w:fldCharType="begin"/>
      </w:r>
      <w:r w:rsidRPr="00D06063">
        <w:rPr>
          <w:rFonts w:cs="Arial"/>
        </w:rPr>
        <w:instrText xml:space="preserve"> SEQ Graf \* ARABIC </w:instrText>
      </w:r>
      <w:r w:rsidRPr="00D06063">
        <w:rPr>
          <w:rFonts w:cs="Arial"/>
        </w:rPr>
        <w:fldChar w:fldCharType="separate"/>
      </w:r>
      <w:r w:rsidRPr="00D06063">
        <w:rPr>
          <w:rFonts w:cs="Arial"/>
        </w:rPr>
        <w:t>7</w:t>
      </w:r>
      <w:r w:rsidRPr="00D06063">
        <w:rPr>
          <w:rFonts w:cs="Arial"/>
        </w:rPr>
        <w:fldChar w:fldCharType="end"/>
      </w:r>
      <w:r w:rsidRPr="00D06063">
        <w:rPr>
          <w:rFonts w:cs="Arial"/>
        </w:rPr>
        <w:t xml:space="preserve"> </w:t>
      </w:r>
      <w:r w:rsidR="00FF2679">
        <w:rPr>
          <w:rFonts w:cs="Arial"/>
        </w:rPr>
        <w:t xml:space="preserve">– </w:t>
      </w:r>
      <w:r w:rsidRPr="00D06063">
        <w:rPr>
          <w:rFonts w:cs="Arial"/>
        </w:rPr>
        <w:t xml:space="preserve">Vývoj úspěšnosti juniorských grantů podle uchazečů s počátkem </w:t>
      </w:r>
      <w:r w:rsidR="00FF2679">
        <w:rPr>
          <w:rFonts w:cs="Arial"/>
        </w:rPr>
        <w:br/>
      </w:r>
      <w:r w:rsidRPr="00D06063">
        <w:rPr>
          <w:rFonts w:cs="Arial"/>
        </w:rPr>
        <w:t>řešení 2015–2019</w:t>
      </w:r>
      <w:bookmarkEnd w:id="44"/>
      <w:bookmarkEnd w:id="45"/>
    </w:p>
    <w:p w:rsidR="00786F0D" w:rsidRPr="00D06063" w:rsidRDefault="00216728" w:rsidP="00535636">
      <w:pPr>
        <w:pStyle w:val="Titulek"/>
        <w:spacing w:after="0"/>
        <w:rPr>
          <w:rFonts w:eastAsia="Times New Roman" w:cs="Arial"/>
          <w:color w:val="44546A"/>
          <w:lang w:eastAsia="cs-CZ"/>
        </w:rPr>
      </w:pPr>
      <w:r>
        <w:rPr>
          <w:rFonts w:eastAsia="Times New Roman" w:cs="Arial"/>
          <w:noProof/>
          <w:color w:val="44546A"/>
          <w:lang w:eastAsia="cs-CZ"/>
        </w:rPr>
        <w:drawing>
          <wp:inline distT="0" distB="0" distL="0" distR="0">
            <wp:extent cx="5761355" cy="2895600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342238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8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F0D" w:rsidRPr="00D06063" w:rsidRDefault="00216728" w:rsidP="00D06063">
      <w:pPr>
        <w:pStyle w:val="Poznmka"/>
        <w:rPr>
          <w:rFonts w:eastAsia="Times New Roman" w:cs="Arial"/>
        </w:rPr>
      </w:pPr>
      <w:r w:rsidRPr="00D06063">
        <w:rPr>
          <w:rFonts w:eastAsia="Times New Roman" w:cs="Arial"/>
        </w:rPr>
        <w:t>jiné: nemocnice, knihovny, muzea, příspěvkové organizace, spolky, galerie, nadace, organizační složky státu</w:t>
      </w:r>
    </w:p>
    <w:p w:rsidR="00786F0D" w:rsidRPr="00D06063" w:rsidRDefault="00216728" w:rsidP="00D06063">
      <w:pPr>
        <w:pStyle w:val="Poznmka"/>
        <w:rPr>
          <w:rFonts w:eastAsia="Times New Roman" w:cs="Arial"/>
        </w:rPr>
      </w:pPr>
      <w:r w:rsidRPr="00D06063">
        <w:rPr>
          <w:rFonts w:eastAsia="Times New Roman" w:cs="Arial"/>
        </w:rPr>
        <w:t>soukromé: fyzické osoby, společnosti s</w:t>
      </w:r>
      <w:r w:rsidRPr="00D06063">
        <w:rPr>
          <w:rFonts w:eastAsia="Times New Roman" w:cs="Arial"/>
        </w:rPr>
        <w:t xml:space="preserve"> ručením omezeným, akciové společnosti, obecně prospěšné společnosti, zapsané ústavy</w:t>
      </w:r>
    </w:p>
    <w:p w:rsidR="00715E37" w:rsidRPr="00D06063" w:rsidRDefault="00216728" w:rsidP="00715E37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86F0D" w:rsidRDefault="00786F0D" w:rsidP="00786F0D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FF2679" w:rsidRPr="00D06063" w:rsidRDefault="00FF2679" w:rsidP="00786F0D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786F0D" w:rsidRDefault="00216728" w:rsidP="00E54BAE">
      <w:pPr>
        <w:pStyle w:val="Titulek"/>
        <w:rPr>
          <w:rFonts w:cs="Arial"/>
        </w:rPr>
      </w:pPr>
      <w:bookmarkStart w:id="46" w:name="_Toc256000044"/>
      <w:bookmarkStart w:id="47" w:name="_Toc10036292"/>
      <w:r w:rsidRPr="00D06063">
        <w:rPr>
          <w:rFonts w:cs="Arial"/>
        </w:rPr>
        <w:t xml:space="preserve">Tabulka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Tabulka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7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FF2679">
        <w:rPr>
          <w:rFonts w:cs="Arial"/>
        </w:rPr>
        <w:t xml:space="preserve">– </w:t>
      </w:r>
      <w:r w:rsidRPr="00D06063">
        <w:rPr>
          <w:rFonts w:cs="Arial"/>
        </w:rPr>
        <w:t>Průměrné náklady na 1. rok řešení a na celou dobu řešení na 3letý financovaný juniorský projekt za období 2015–2019 po</w:t>
      </w:r>
      <w:r w:rsidRPr="00D06063">
        <w:rPr>
          <w:rFonts w:cs="Arial"/>
        </w:rPr>
        <w:t>dle příjemců</w:t>
      </w:r>
      <w:bookmarkEnd w:id="46"/>
      <w:bookmarkEnd w:id="47"/>
    </w:p>
    <w:p w:rsidR="00A33F0F" w:rsidRPr="00A33F0F" w:rsidRDefault="00216728" w:rsidP="00535636">
      <w:pPr>
        <w:spacing w:after="0"/>
      </w:pPr>
      <w:r>
        <w:rPr>
          <w:noProof/>
          <w:lang w:eastAsia="cs-CZ"/>
        </w:rPr>
        <w:drawing>
          <wp:inline distT="0" distB="0" distL="0" distR="0">
            <wp:extent cx="5486400" cy="19621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673452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F0D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86F0D" w:rsidRPr="00D06063" w:rsidRDefault="00786F0D" w:rsidP="00786F0D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535636">
      <w:pPr>
        <w:pStyle w:val="Nadpis2"/>
        <w:numPr>
          <w:ilvl w:val="1"/>
          <w:numId w:val="16"/>
        </w:numPr>
        <w:ind w:left="1434" w:hanging="357"/>
        <w:rPr>
          <w:rFonts w:eastAsia="Times New Roman" w:cs="Arial"/>
          <w:lang w:eastAsia="cs-CZ"/>
        </w:rPr>
      </w:pPr>
      <w:bookmarkStart w:id="48" w:name="_Toc7650699"/>
      <w:r>
        <w:rPr>
          <w:rFonts w:eastAsia="Times New Roman" w:cs="Arial"/>
          <w:lang w:eastAsia="cs-CZ"/>
        </w:rPr>
        <w:t xml:space="preserve"> </w:t>
      </w:r>
      <w:bookmarkStart w:id="49" w:name="_Toc256000006"/>
      <w:bookmarkStart w:id="50" w:name="_Toc14183925"/>
      <w:r w:rsidRPr="00D06063">
        <w:rPr>
          <w:rFonts w:eastAsia="Times New Roman" w:cs="Arial"/>
          <w:lang w:eastAsia="cs-CZ"/>
        </w:rPr>
        <w:t>Juniorské granty podle úvazku</w:t>
      </w:r>
      <w:bookmarkEnd w:id="48"/>
      <w:bookmarkEnd w:id="49"/>
      <w:bookmarkEnd w:id="50"/>
    </w:p>
    <w:p w:rsidR="008155AB" w:rsidRDefault="00216728" w:rsidP="00535636">
      <w:pPr>
        <w:keepNext/>
        <w:spacing w:after="0"/>
        <w:rPr>
          <w:rFonts w:cs="Arial"/>
        </w:rPr>
      </w:pPr>
      <w:r w:rsidRPr="00D06063">
        <w:rPr>
          <w:rFonts w:cs="Arial"/>
        </w:rPr>
        <w:t xml:space="preserve">Na jednom financovaném juniorském projektu se průměrně podílí 1,9 </w:t>
      </w:r>
      <w:r w:rsidR="00E244CF" w:rsidRPr="00D06063">
        <w:rPr>
          <w:rFonts w:cs="Arial"/>
        </w:rPr>
        <w:t>pracovník</w:t>
      </w:r>
      <w:r w:rsidR="00E244CF">
        <w:rPr>
          <w:rFonts w:cs="Arial"/>
        </w:rPr>
        <w:t>a</w:t>
      </w:r>
      <w:r w:rsidR="00E244CF" w:rsidRPr="00D06063">
        <w:rPr>
          <w:rFonts w:cs="Arial"/>
        </w:rPr>
        <w:t xml:space="preserve"> </w:t>
      </w:r>
      <w:r w:rsidRPr="00D06063">
        <w:rPr>
          <w:rFonts w:cs="Arial"/>
        </w:rPr>
        <w:t xml:space="preserve">na plný úvazek na rok. V porovnání mezi vědními obory je v lékařských a biologických vědách </w:t>
      </w:r>
      <w:r w:rsidR="00E244CF" w:rsidRPr="00D06063">
        <w:rPr>
          <w:rFonts w:cs="Arial"/>
        </w:rPr>
        <w:t>a</w:t>
      </w:r>
      <w:r w:rsidR="00E244CF">
        <w:rPr>
          <w:rFonts w:cs="Arial"/>
        </w:rPr>
        <w:t> </w:t>
      </w:r>
      <w:r w:rsidRPr="00D06063">
        <w:rPr>
          <w:rFonts w:cs="Arial"/>
        </w:rPr>
        <w:t xml:space="preserve">v zemědělských a biologicko-environmentálních vědách zaznamenán nejvyšší průměrný úvazek na projekt na rok (2,1 úvazku). Naopak zaměstnanci s nejnižším ročním průměrným úvazkem 1,6 jsou ze společenských a humanitních věd. </w:t>
      </w:r>
    </w:p>
    <w:p w:rsidR="001F4E53" w:rsidRPr="00D06063" w:rsidRDefault="001F4E53" w:rsidP="00535636">
      <w:pPr>
        <w:keepNext/>
        <w:spacing w:after="0"/>
        <w:rPr>
          <w:rFonts w:cs="Arial"/>
        </w:rPr>
      </w:pPr>
    </w:p>
    <w:p w:rsidR="008155AB" w:rsidRPr="00D06063" w:rsidRDefault="00216728" w:rsidP="008155AB">
      <w:pPr>
        <w:pStyle w:val="Titulek"/>
        <w:rPr>
          <w:rFonts w:cs="Arial"/>
        </w:rPr>
      </w:pPr>
      <w:bookmarkStart w:id="51" w:name="_Toc256000022"/>
      <w:bookmarkStart w:id="52" w:name="_Toc10036270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8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22498A">
        <w:rPr>
          <w:rFonts w:cs="Arial"/>
        </w:rPr>
        <w:t xml:space="preserve">– </w:t>
      </w:r>
      <w:r w:rsidRPr="00D06063">
        <w:rPr>
          <w:rFonts w:cs="Arial"/>
        </w:rPr>
        <w:t>Průměrný úvazek připadající na rok na jeden financovaný juniorský projekt s</w:t>
      </w:r>
      <w:r w:rsidR="00975B1A">
        <w:rPr>
          <w:rFonts w:cs="Arial"/>
        </w:rPr>
        <w:t> </w:t>
      </w:r>
      <w:r w:rsidRPr="00D06063">
        <w:rPr>
          <w:rFonts w:cs="Arial"/>
        </w:rPr>
        <w:t>počátkem řešení 2015–2019 podle oborů</w:t>
      </w:r>
      <w:bookmarkEnd w:id="51"/>
      <w:bookmarkEnd w:id="52"/>
    </w:p>
    <w:p w:rsidR="008155AB" w:rsidRPr="00D06063" w:rsidRDefault="00216728" w:rsidP="00535636">
      <w:pPr>
        <w:spacing w:after="0"/>
        <w:rPr>
          <w:rFonts w:cs="Arial"/>
        </w:rPr>
      </w:pPr>
      <w:r>
        <w:rPr>
          <w:rFonts w:cs="Arial"/>
          <w:noProof/>
          <w:lang w:eastAsia="cs-CZ"/>
        </w:rPr>
        <w:drawing>
          <wp:inline distT="0" distB="0" distL="0" distR="0">
            <wp:extent cx="4572635" cy="1645920"/>
            <wp:effectExtent l="0" t="0" r="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310226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164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55AB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B40A2" w:rsidRPr="00D06063" w:rsidRDefault="007B40A2" w:rsidP="007B40A2">
      <w:pPr>
        <w:rPr>
          <w:rFonts w:cs="Arial"/>
        </w:rPr>
      </w:pPr>
    </w:p>
    <w:p w:rsidR="008155AB" w:rsidRPr="00D06063" w:rsidRDefault="00216728" w:rsidP="008155AB">
      <w:pPr>
        <w:pStyle w:val="Titulek"/>
        <w:rPr>
          <w:rFonts w:cs="Arial"/>
        </w:rPr>
      </w:pPr>
      <w:bookmarkStart w:id="53" w:name="_Toc256000023"/>
      <w:bookmarkStart w:id="54" w:name="_Toc10036271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9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1F4E53">
        <w:rPr>
          <w:rFonts w:cs="Arial"/>
        </w:rPr>
        <w:t xml:space="preserve">– </w:t>
      </w:r>
      <w:r w:rsidRPr="00D06063">
        <w:rPr>
          <w:rFonts w:cs="Arial"/>
        </w:rPr>
        <w:t>Průměrný úvazek připadající na jeden udělený juniorský grant s počátkem řešení 2015–2019 v jed</w:t>
      </w:r>
      <w:r w:rsidRPr="00D06063">
        <w:rPr>
          <w:rFonts w:cs="Arial"/>
        </w:rPr>
        <w:t>notlivých letech podle oborů</w:t>
      </w:r>
      <w:bookmarkEnd w:id="53"/>
      <w:bookmarkEnd w:id="54"/>
    </w:p>
    <w:p w:rsidR="008155AB" w:rsidRPr="00D06063" w:rsidRDefault="00216728" w:rsidP="00535636">
      <w:pPr>
        <w:spacing w:after="0"/>
        <w:rPr>
          <w:rFonts w:cs="Arial"/>
        </w:rPr>
      </w:pPr>
      <w:r>
        <w:rPr>
          <w:rFonts w:cs="Arial"/>
          <w:noProof/>
          <w:lang w:eastAsia="cs-CZ"/>
        </w:rPr>
        <w:drawing>
          <wp:inline distT="0" distB="0" distL="0" distR="0">
            <wp:extent cx="5761355" cy="3078480"/>
            <wp:effectExtent l="0" t="0" r="0" b="762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133838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07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55AB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B40A2" w:rsidRPr="00D06063" w:rsidRDefault="007B40A2" w:rsidP="007B40A2">
      <w:pPr>
        <w:rPr>
          <w:rFonts w:cs="Arial"/>
        </w:rPr>
      </w:pPr>
    </w:p>
    <w:p w:rsidR="00182F23" w:rsidRPr="00D06063" w:rsidRDefault="00216728" w:rsidP="00D06063">
      <w:pPr>
        <w:rPr>
          <w:rFonts w:cs="Arial"/>
        </w:rPr>
      </w:pPr>
      <w:r w:rsidRPr="00D06063">
        <w:rPr>
          <w:rFonts w:cs="Arial"/>
        </w:rPr>
        <w:t>Celkový počet osob pracujících na plný úvazek v juniorských grantech za období 2015–2019 byl 1 728,6 přepočtených osob. V roce 2015 celkový počet osob pracujících v juniorských grantech s počátkem řešení 2015 dosáhl 84,7 přepočtených osob. V dalších letech</w:t>
      </w:r>
      <w:r w:rsidRPr="00D06063">
        <w:rPr>
          <w:rFonts w:cs="Arial"/>
        </w:rPr>
        <w:t xml:space="preserve"> se celkový počet zaměstnanců na plný úvazek zvyšoval společně s nárůstem financovaných projektů. </w:t>
      </w:r>
    </w:p>
    <w:p w:rsidR="007B40A2" w:rsidRPr="00D06063" w:rsidRDefault="007B40A2" w:rsidP="008155AB">
      <w:pPr>
        <w:rPr>
          <w:rFonts w:cs="Arial"/>
        </w:rPr>
      </w:pPr>
    </w:p>
    <w:p w:rsidR="008155AB" w:rsidRPr="00D06063" w:rsidRDefault="00216728" w:rsidP="00182F23">
      <w:pPr>
        <w:pStyle w:val="Titulek"/>
        <w:rPr>
          <w:rFonts w:cs="Arial"/>
        </w:rPr>
      </w:pPr>
      <w:bookmarkStart w:id="55" w:name="_Toc256000024"/>
      <w:bookmarkStart w:id="56" w:name="_Toc10036272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10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316386">
        <w:rPr>
          <w:rFonts w:cs="Arial"/>
        </w:rPr>
        <w:t xml:space="preserve">– </w:t>
      </w:r>
      <w:r w:rsidRPr="00D06063">
        <w:rPr>
          <w:rFonts w:cs="Arial"/>
        </w:rPr>
        <w:t>Celkový počet osob pracujících na plný úvazek v juniorských grantech v</w:t>
      </w:r>
      <w:r w:rsidR="00316386">
        <w:rPr>
          <w:rFonts w:cs="Arial"/>
        </w:rPr>
        <w:t> </w:t>
      </w:r>
      <w:r w:rsidR="00316386" w:rsidRPr="00D06063">
        <w:rPr>
          <w:rFonts w:cs="Arial"/>
        </w:rPr>
        <w:t>letech</w:t>
      </w:r>
      <w:r w:rsidR="00316386">
        <w:rPr>
          <w:rFonts w:cs="Arial"/>
        </w:rPr>
        <w:t> </w:t>
      </w:r>
      <w:r w:rsidRPr="00D06063">
        <w:rPr>
          <w:rFonts w:cs="Arial"/>
        </w:rPr>
        <w:t>2015–2019</w:t>
      </w:r>
      <w:bookmarkEnd w:id="55"/>
      <w:bookmarkEnd w:id="56"/>
    </w:p>
    <w:p w:rsidR="008155AB" w:rsidRPr="00D06063" w:rsidRDefault="00216728" w:rsidP="00535636">
      <w:pPr>
        <w:spacing w:after="0"/>
        <w:rPr>
          <w:rFonts w:cs="Arial"/>
        </w:rPr>
      </w:pPr>
      <w:r>
        <w:rPr>
          <w:rFonts w:cs="Arial"/>
          <w:noProof/>
          <w:lang w:eastAsia="cs-CZ"/>
        </w:rPr>
        <w:drawing>
          <wp:inline distT="0" distB="0" distL="0" distR="0">
            <wp:extent cx="5761355" cy="2420620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895503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420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55AB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8155AB" w:rsidRPr="00D06063" w:rsidRDefault="008155AB" w:rsidP="008155AB">
      <w:pPr>
        <w:rPr>
          <w:rFonts w:cs="Arial"/>
        </w:rPr>
      </w:pPr>
    </w:p>
    <w:p w:rsidR="008155AB" w:rsidRPr="00D06063" w:rsidRDefault="00216728" w:rsidP="00182F23">
      <w:pPr>
        <w:pStyle w:val="Titulek"/>
        <w:rPr>
          <w:rFonts w:cs="Arial"/>
        </w:rPr>
      </w:pPr>
      <w:bookmarkStart w:id="57" w:name="_Toc256000025"/>
      <w:bookmarkStart w:id="58" w:name="_Toc10036273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11</w:t>
      </w:r>
      <w:r w:rsidR="00CA0F1B" w:rsidRPr="00D06063">
        <w:rPr>
          <w:rFonts w:cs="Arial"/>
          <w:noProof/>
        </w:rPr>
        <w:fldChar w:fldCharType="end"/>
      </w:r>
      <w:r w:rsidR="00D22D7F">
        <w:rPr>
          <w:rFonts w:cs="Arial"/>
          <w:noProof/>
        </w:rPr>
        <w:t xml:space="preserve"> –</w:t>
      </w:r>
      <w:r w:rsidRPr="00D06063">
        <w:rPr>
          <w:rFonts w:cs="Arial"/>
        </w:rPr>
        <w:t xml:space="preserve"> Průměrný úvazek připadající na rok řešení na jeden financovaný juniorský projekt s počátkem řešení 2015–2019 podle příjemců</w:t>
      </w:r>
      <w:bookmarkEnd w:id="57"/>
      <w:bookmarkEnd w:id="58"/>
    </w:p>
    <w:p w:rsidR="008155AB" w:rsidRPr="00D06063" w:rsidRDefault="00216728" w:rsidP="00535636">
      <w:pPr>
        <w:pStyle w:val="Titulek"/>
        <w:spacing w:after="0"/>
        <w:rPr>
          <w:rFonts w:cs="Arial"/>
          <w:color w:val="FF0000"/>
        </w:rPr>
      </w:pPr>
      <w:r>
        <w:rPr>
          <w:rFonts w:cs="Arial"/>
          <w:noProof/>
          <w:color w:val="FF0000"/>
          <w:lang w:eastAsia="cs-CZ"/>
        </w:rPr>
        <w:drawing>
          <wp:inline distT="0" distB="0" distL="0" distR="0">
            <wp:extent cx="5761355" cy="2420620"/>
            <wp:effectExtent l="0" t="0" r="0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719076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420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55AB" w:rsidRPr="00D06063" w:rsidRDefault="00216728" w:rsidP="00D06063">
      <w:pPr>
        <w:pStyle w:val="Poznmka"/>
        <w:rPr>
          <w:rFonts w:cs="Arial"/>
        </w:rPr>
      </w:pPr>
      <w:r w:rsidRPr="00D06063">
        <w:rPr>
          <w:rFonts w:cs="Arial"/>
        </w:rPr>
        <w:t>jiné: nemocnice, knihovny, muzea, příspěvkové organizace, spolky, galerie, nadace, organizační složky státu</w:t>
      </w:r>
    </w:p>
    <w:p w:rsidR="008155AB" w:rsidRPr="00D06063" w:rsidRDefault="00216728" w:rsidP="00D06063">
      <w:pPr>
        <w:pStyle w:val="Poznmka"/>
        <w:rPr>
          <w:rFonts w:cs="Arial"/>
        </w:rPr>
      </w:pPr>
      <w:r w:rsidRPr="00D06063">
        <w:rPr>
          <w:rFonts w:cs="Arial"/>
        </w:rPr>
        <w:t>soukromé: fyzické osoby, společnosti s ručením omezeným, akciové společnosti, obecně prospěšné společnosti, zapsané ústavy</w:t>
      </w:r>
    </w:p>
    <w:p w:rsidR="00850153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8155AB" w:rsidRPr="00D06063" w:rsidRDefault="008155AB" w:rsidP="00D06063">
      <w:pPr>
        <w:pStyle w:val="Poznmka"/>
        <w:rPr>
          <w:rFonts w:cs="Arial"/>
        </w:rPr>
      </w:pPr>
    </w:p>
    <w:p w:rsidR="00182F23" w:rsidRPr="00D06063" w:rsidRDefault="00216728">
      <w:pPr>
        <w:jc w:val="left"/>
        <w:rPr>
          <w:rFonts w:cs="Arial"/>
          <w:b/>
          <w:iCs/>
          <w:color w:val="244061" w:themeColor="accent1" w:themeShade="80"/>
          <w:szCs w:val="18"/>
        </w:rPr>
      </w:pPr>
      <w:r w:rsidRPr="00D06063">
        <w:rPr>
          <w:rFonts w:cs="Arial"/>
        </w:rPr>
        <w:br w:type="page"/>
      </w:r>
    </w:p>
    <w:p w:rsidR="008155AB" w:rsidRPr="00D06063" w:rsidRDefault="00216728" w:rsidP="00182F23">
      <w:pPr>
        <w:pStyle w:val="Titulek"/>
        <w:rPr>
          <w:rFonts w:cs="Arial"/>
        </w:rPr>
      </w:pPr>
      <w:bookmarkStart w:id="59" w:name="_Toc256000026"/>
      <w:bookmarkStart w:id="60" w:name="_Toc10036274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12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A4568B">
        <w:rPr>
          <w:rFonts w:cs="Arial"/>
        </w:rPr>
        <w:t xml:space="preserve">– </w:t>
      </w:r>
      <w:r w:rsidRPr="00D06063">
        <w:rPr>
          <w:rFonts w:cs="Arial"/>
        </w:rPr>
        <w:t>Průměrný úvazek připadající na rok na jeden financovaný juniorský projekt s</w:t>
      </w:r>
      <w:r w:rsidR="00975B1A">
        <w:rPr>
          <w:rFonts w:cs="Arial"/>
        </w:rPr>
        <w:t> </w:t>
      </w:r>
      <w:r w:rsidRPr="00D06063">
        <w:rPr>
          <w:rFonts w:cs="Arial"/>
        </w:rPr>
        <w:t>počátkem</w:t>
      </w:r>
      <w:r w:rsidRPr="00D06063">
        <w:rPr>
          <w:rFonts w:cs="Arial"/>
        </w:rPr>
        <w:t xml:space="preserve"> řešení 2015–2019 podle krajů</w:t>
      </w:r>
      <w:bookmarkEnd w:id="59"/>
      <w:bookmarkEnd w:id="60"/>
    </w:p>
    <w:p w:rsidR="008155AB" w:rsidRPr="00D06063" w:rsidRDefault="00216728" w:rsidP="00535636">
      <w:pPr>
        <w:spacing w:after="0"/>
        <w:ind w:hanging="142"/>
        <w:rPr>
          <w:rFonts w:cs="Arial"/>
        </w:rPr>
      </w:pPr>
      <w:r>
        <w:rPr>
          <w:rFonts w:cs="Arial"/>
          <w:noProof/>
          <w:lang w:eastAsia="cs-CZ"/>
        </w:rPr>
        <w:drawing>
          <wp:inline distT="0" distB="0" distL="0" distR="0">
            <wp:extent cx="5937885" cy="2481580"/>
            <wp:effectExtent l="0" t="0" r="5715" b="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04597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48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55AB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86F0D" w:rsidRPr="00D06063" w:rsidRDefault="00786F0D" w:rsidP="007A0E34">
      <w:pPr>
        <w:rPr>
          <w:rFonts w:cs="Arial"/>
          <w:lang w:eastAsia="cs-CZ"/>
        </w:rPr>
      </w:pPr>
    </w:p>
    <w:p w:rsidR="00786F0D" w:rsidRPr="00D06063" w:rsidRDefault="00216728" w:rsidP="00535636">
      <w:pPr>
        <w:pStyle w:val="Nadpis2"/>
        <w:numPr>
          <w:ilvl w:val="1"/>
          <w:numId w:val="16"/>
        </w:numPr>
        <w:rPr>
          <w:rFonts w:eastAsia="Times New Roman" w:cs="Arial"/>
          <w:lang w:eastAsia="cs-CZ"/>
        </w:rPr>
      </w:pPr>
      <w:bookmarkStart w:id="61" w:name="_Toc7650700"/>
      <w:r>
        <w:rPr>
          <w:rFonts w:eastAsia="Times New Roman" w:cs="Arial"/>
          <w:lang w:eastAsia="cs-CZ"/>
        </w:rPr>
        <w:t xml:space="preserve">  </w:t>
      </w:r>
      <w:bookmarkStart w:id="62" w:name="_Toc256000007"/>
      <w:bookmarkStart w:id="63" w:name="_Toc14183926"/>
      <w:r w:rsidRPr="00D06063">
        <w:rPr>
          <w:rFonts w:eastAsia="Times New Roman" w:cs="Arial"/>
          <w:lang w:eastAsia="cs-CZ"/>
        </w:rPr>
        <w:t>Zastoupení žen v juniorských grantech</w:t>
      </w:r>
      <w:bookmarkEnd w:id="61"/>
      <w:bookmarkEnd w:id="62"/>
      <w:bookmarkEnd w:id="63"/>
    </w:p>
    <w:p w:rsidR="00786F0D" w:rsidRPr="00D06063" w:rsidRDefault="00216728" w:rsidP="00D06063">
      <w:pPr>
        <w:rPr>
          <w:rFonts w:cs="Arial"/>
          <w:lang w:eastAsia="cs-CZ"/>
        </w:rPr>
      </w:pPr>
      <w:r w:rsidRPr="00D06063">
        <w:rPr>
          <w:rFonts w:cs="Arial"/>
          <w:lang w:eastAsia="cs-CZ"/>
        </w:rPr>
        <w:t>Informace o zastoupení žen v juniorských grantech s počátkem řešení 2015–2019 se týkají pouze těch projektů, u kterých bylo možné určit, zda se jedná o muže či ženu.</w:t>
      </w:r>
    </w:p>
    <w:p w:rsidR="005D5FDF" w:rsidRPr="00D06063" w:rsidRDefault="00216728" w:rsidP="00D06063">
      <w:pPr>
        <w:rPr>
          <w:rFonts w:cs="Arial"/>
          <w:lang w:eastAsia="cs-CZ"/>
        </w:rPr>
      </w:pPr>
      <w:r w:rsidRPr="00D06063">
        <w:rPr>
          <w:rFonts w:cs="Arial"/>
          <w:lang w:eastAsia="cs-CZ"/>
        </w:rPr>
        <w:t>Nejv</w:t>
      </w:r>
      <w:r w:rsidRPr="00D06063">
        <w:rPr>
          <w:rFonts w:cs="Arial"/>
          <w:lang w:eastAsia="cs-CZ"/>
        </w:rPr>
        <w:t>yšší podíl žen v roli navrhovatele i řešitele byl v roce 2018, kdy dosahoval více než 40 %. Na začátku sledovaného období byly ženy v roli navrhovatele ve výši 26,3 % a v roli řešitele 22,6 %.</w:t>
      </w:r>
    </w:p>
    <w:p w:rsidR="00FA67FB" w:rsidRPr="00D06063" w:rsidRDefault="00216728" w:rsidP="00535636">
      <w:pPr>
        <w:spacing w:after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 xml:space="preserve">Vzhledem k tomu, že </w:t>
      </w:r>
      <w:r w:rsidR="00535636">
        <w:rPr>
          <w:rFonts w:cs="Arial"/>
          <w:lang w:eastAsia="cs-CZ"/>
        </w:rPr>
        <w:t xml:space="preserve">počty </w:t>
      </w:r>
      <w:r w:rsidRPr="00D06063">
        <w:rPr>
          <w:rFonts w:cs="Arial"/>
          <w:lang w:eastAsia="cs-CZ"/>
        </w:rPr>
        <w:t>procent žen v roli navrhovatelů a řeš</w:t>
      </w:r>
      <w:r w:rsidRPr="00D06063">
        <w:rPr>
          <w:rFonts w:cs="Arial"/>
          <w:lang w:eastAsia="cs-CZ"/>
        </w:rPr>
        <w:t xml:space="preserve">itelů v grafu </w:t>
      </w:r>
      <w:r w:rsidR="00535636">
        <w:rPr>
          <w:rFonts w:cs="Arial"/>
          <w:lang w:eastAsia="cs-CZ"/>
        </w:rPr>
        <w:t>13</w:t>
      </w:r>
      <w:r w:rsidRPr="00D06063">
        <w:rPr>
          <w:rFonts w:cs="Arial"/>
          <w:lang w:eastAsia="cs-CZ"/>
        </w:rPr>
        <w:t xml:space="preserve"> jsou </w:t>
      </w:r>
      <w:r w:rsidR="00535636">
        <w:rPr>
          <w:rFonts w:cs="Arial"/>
          <w:lang w:eastAsia="cs-CZ"/>
        </w:rPr>
        <w:t>téměř totožné</w:t>
      </w:r>
      <w:r w:rsidRPr="00D06063">
        <w:rPr>
          <w:rFonts w:cs="Arial"/>
          <w:lang w:eastAsia="cs-CZ"/>
        </w:rPr>
        <w:t xml:space="preserve">, dá se říci, že v soutěži nedochází při výběru financovaných projektů k diskriminaci žen. Totéž je možné pozorovat i z dat v grafu </w:t>
      </w:r>
      <w:r w:rsidR="00535636">
        <w:rPr>
          <w:rFonts w:cs="Arial"/>
          <w:lang w:eastAsia="cs-CZ"/>
        </w:rPr>
        <w:t>14.</w:t>
      </w:r>
    </w:p>
    <w:p w:rsidR="005D5FDF" w:rsidRPr="00D06063" w:rsidRDefault="005D5FDF" w:rsidP="00535636">
      <w:pPr>
        <w:spacing w:after="0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182F23">
      <w:pPr>
        <w:pStyle w:val="Titulek"/>
        <w:rPr>
          <w:rFonts w:eastAsia="Times New Roman" w:cs="Arial"/>
          <w:b w:val="0"/>
          <w:iCs w:val="0"/>
          <w:color w:val="44546A"/>
          <w:lang w:eastAsia="cs-CZ"/>
        </w:rPr>
      </w:pPr>
      <w:bookmarkStart w:id="64" w:name="_Toc256000027"/>
      <w:bookmarkStart w:id="65" w:name="_Toc10036275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13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A5504F">
        <w:rPr>
          <w:rFonts w:cs="Arial"/>
        </w:rPr>
        <w:t xml:space="preserve">– </w:t>
      </w:r>
      <w:r w:rsidRPr="00D06063">
        <w:rPr>
          <w:rFonts w:cs="Arial"/>
        </w:rPr>
        <w:t xml:space="preserve">Podíl žen v roli navrhovatele a řešitele juniorských projektů s počátkem </w:t>
      </w:r>
      <w:r w:rsidR="00A5504F" w:rsidRPr="00D06063">
        <w:rPr>
          <w:rFonts w:cs="Arial"/>
        </w:rPr>
        <w:t>řešení</w:t>
      </w:r>
      <w:r w:rsidR="00A5504F">
        <w:rPr>
          <w:rFonts w:cs="Arial"/>
        </w:rPr>
        <w:t> </w:t>
      </w:r>
      <w:r w:rsidRPr="00D06063">
        <w:rPr>
          <w:rFonts w:cs="Arial"/>
        </w:rPr>
        <w:t>2015–2019</w:t>
      </w:r>
      <w:bookmarkEnd w:id="64"/>
      <w:bookmarkEnd w:id="65"/>
    </w:p>
    <w:p w:rsidR="00786F0D" w:rsidRPr="00D06063" w:rsidRDefault="00216728" w:rsidP="00535636">
      <w:pPr>
        <w:spacing w:after="0" w:line="271" w:lineRule="auto"/>
        <w:rPr>
          <w:rFonts w:eastAsia="Times New Roman" w:cs="Arial"/>
          <w:b/>
          <w:iCs/>
          <w:color w:val="44546A"/>
          <w:szCs w:val="18"/>
          <w:lang w:eastAsia="cs-CZ"/>
        </w:rPr>
      </w:pPr>
      <w:r>
        <w:rPr>
          <w:rFonts w:eastAsia="Times New Roman" w:cs="Arial"/>
          <w:b/>
          <w:iCs/>
          <w:noProof/>
          <w:color w:val="44546A"/>
          <w:szCs w:val="18"/>
          <w:lang w:eastAsia="cs-CZ"/>
        </w:rPr>
        <w:drawing>
          <wp:inline distT="0" distB="0" distL="0" distR="0">
            <wp:extent cx="5761355" cy="2231390"/>
            <wp:effectExtent l="0" t="0" r="0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274571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F0D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4C7D87" w:rsidRDefault="004C7D87" w:rsidP="00182F23">
      <w:pPr>
        <w:pStyle w:val="Titulek"/>
        <w:rPr>
          <w:rFonts w:cs="Arial"/>
        </w:rPr>
      </w:pPr>
      <w:bookmarkStart w:id="66" w:name="_Toc10036276"/>
    </w:p>
    <w:p w:rsidR="00786F0D" w:rsidRPr="00D06063" w:rsidRDefault="00216728" w:rsidP="00182F23">
      <w:pPr>
        <w:pStyle w:val="Titulek"/>
        <w:rPr>
          <w:rFonts w:eastAsia="Times New Roman" w:cs="Arial"/>
          <w:b w:val="0"/>
          <w:iCs w:val="0"/>
          <w:color w:val="44546A"/>
          <w:lang w:eastAsia="cs-CZ"/>
        </w:rPr>
      </w:pPr>
      <w:bookmarkStart w:id="67" w:name="_Toc256000028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14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9B596F">
        <w:rPr>
          <w:rFonts w:cs="Arial"/>
        </w:rPr>
        <w:t xml:space="preserve">– </w:t>
      </w:r>
      <w:r w:rsidRPr="00D06063">
        <w:rPr>
          <w:rFonts w:cs="Arial"/>
        </w:rPr>
        <w:t>Úspěšnost žen juniorských projektů s počátkem řešení 2015–2019</w:t>
      </w:r>
      <w:bookmarkEnd w:id="66"/>
      <w:bookmarkEnd w:id="67"/>
    </w:p>
    <w:p w:rsidR="00786F0D" w:rsidRPr="00D06063" w:rsidRDefault="00216728" w:rsidP="00535636">
      <w:pPr>
        <w:spacing w:after="0" w:line="271" w:lineRule="auto"/>
        <w:rPr>
          <w:rFonts w:eastAsia="Times New Roman" w:cs="Arial"/>
          <w:b/>
          <w:iCs/>
          <w:color w:val="44546A"/>
          <w:szCs w:val="18"/>
          <w:lang w:eastAsia="cs-CZ"/>
        </w:rPr>
      </w:pPr>
      <w:r>
        <w:rPr>
          <w:rFonts w:eastAsia="Times New Roman" w:cs="Arial"/>
          <w:b/>
          <w:iCs/>
          <w:noProof/>
          <w:color w:val="44546A"/>
          <w:szCs w:val="18"/>
          <w:lang w:eastAsia="cs-CZ"/>
        </w:rPr>
        <w:drawing>
          <wp:inline distT="0" distB="0" distL="0" distR="0">
            <wp:extent cx="5761355" cy="2468880"/>
            <wp:effectExtent l="0" t="0" r="0" b="762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096024" name="Picture 1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46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F0D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86F0D" w:rsidRPr="00D06063" w:rsidRDefault="00786F0D" w:rsidP="00786F0D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535636">
      <w:pPr>
        <w:pStyle w:val="Nadpis2"/>
        <w:numPr>
          <w:ilvl w:val="1"/>
          <w:numId w:val="16"/>
        </w:numPr>
        <w:rPr>
          <w:rFonts w:eastAsia="Times New Roman" w:cs="Arial"/>
          <w:lang w:eastAsia="cs-CZ"/>
        </w:rPr>
      </w:pPr>
      <w:bookmarkStart w:id="68" w:name="_Toc7650701"/>
      <w:r>
        <w:rPr>
          <w:rFonts w:eastAsia="Times New Roman" w:cs="Arial"/>
          <w:lang w:eastAsia="cs-CZ"/>
        </w:rPr>
        <w:t xml:space="preserve">  </w:t>
      </w:r>
      <w:bookmarkStart w:id="69" w:name="_Toc256000008"/>
      <w:bookmarkStart w:id="70" w:name="_Toc14183927"/>
      <w:r w:rsidRPr="00D06063">
        <w:rPr>
          <w:rFonts w:eastAsia="Times New Roman" w:cs="Arial"/>
          <w:lang w:eastAsia="cs-CZ"/>
        </w:rPr>
        <w:t xml:space="preserve">Naplnění hlavních cílů juniorských </w:t>
      </w:r>
      <w:r w:rsidRPr="00D06063">
        <w:rPr>
          <w:rFonts w:eastAsia="Times New Roman" w:cs="Arial"/>
          <w:lang w:eastAsia="cs-CZ"/>
        </w:rPr>
        <w:t>grantů</w:t>
      </w:r>
      <w:bookmarkEnd w:id="68"/>
      <w:bookmarkEnd w:id="69"/>
      <w:bookmarkEnd w:id="70"/>
    </w:p>
    <w:p w:rsidR="00786F0D" w:rsidRPr="00D06063" w:rsidRDefault="00216728" w:rsidP="00535636">
      <w:pPr>
        <w:spacing w:after="0"/>
        <w:rPr>
          <w:rFonts w:cs="Arial"/>
          <w:lang w:eastAsia="cs-CZ"/>
        </w:rPr>
      </w:pPr>
      <w:r w:rsidRPr="00D06063">
        <w:rPr>
          <w:rFonts w:cs="Arial"/>
          <w:lang w:eastAsia="cs-CZ"/>
        </w:rPr>
        <w:t>Jedním z důležitých cílů skupiny juniorských grantů je vytvoření nové vědecké skupiny vedené mladým vědeckým pracovníkem s nezávislým programem v rámci insti</w:t>
      </w:r>
      <w:r w:rsidR="00E15E7F" w:rsidRPr="00D06063">
        <w:rPr>
          <w:rFonts w:cs="Arial"/>
          <w:lang w:eastAsia="cs-CZ"/>
        </w:rPr>
        <w:t xml:space="preserve">tuce příjemce. Naplnění tohoto </w:t>
      </w:r>
      <w:r w:rsidRPr="00D06063">
        <w:rPr>
          <w:rFonts w:cs="Arial"/>
          <w:lang w:eastAsia="cs-CZ"/>
        </w:rPr>
        <w:t xml:space="preserve"> účelu juniorského grantu bylo z více než 40 % splněno, zhrub</w:t>
      </w:r>
      <w:r w:rsidRPr="00D06063">
        <w:rPr>
          <w:rFonts w:cs="Arial"/>
          <w:lang w:eastAsia="cs-CZ"/>
        </w:rPr>
        <w:t>a jedna třetina podmínku splnila pouze částečně a z necelé jedné třetiny se ji naplnit nepodařilo, jak je zobrazeno v</w:t>
      </w:r>
      <w:r w:rsidR="00975B1A">
        <w:rPr>
          <w:rFonts w:cs="Arial"/>
          <w:lang w:eastAsia="cs-CZ"/>
        </w:rPr>
        <w:t> </w:t>
      </w:r>
      <w:r w:rsidRPr="00D06063">
        <w:rPr>
          <w:rFonts w:cs="Arial"/>
          <w:lang w:eastAsia="cs-CZ"/>
        </w:rPr>
        <w:t xml:space="preserve">následujícím grafu. </w:t>
      </w:r>
    </w:p>
    <w:p w:rsidR="005D5FDF" w:rsidRPr="00D06063" w:rsidRDefault="005D5FDF" w:rsidP="00535636">
      <w:pPr>
        <w:spacing w:after="0" w:line="271" w:lineRule="auto"/>
        <w:rPr>
          <w:rFonts w:eastAsia="Times New Roman" w:cs="Arial"/>
          <w:b/>
          <w:iCs/>
          <w:color w:val="44546A"/>
          <w:szCs w:val="18"/>
          <w:lang w:eastAsia="cs-CZ"/>
        </w:rPr>
      </w:pPr>
      <w:bookmarkStart w:id="71" w:name="_Toc7650762"/>
    </w:p>
    <w:p w:rsidR="00182F23" w:rsidRPr="00D06063" w:rsidRDefault="00216728" w:rsidP="00182F23">
      <w:pPr>
        <w:pStyle w:val="Titulek"/>
        <w:rPr>
          <w:rFonts w:cs="Arial"/>
        </w:rPr>
      </w:pPr>
      <w:bookmarkStart w:id="72" w:name="_Toc256000029"/>
      <w:bookmarkStart w:id="73" w:name="_Toc10036277"/>
      <w:bookmarkEnd w:id="71"/>
      <w:r w:rsidRPr="00D06063">
        <w:rPr>
          <w:rFonts w:cs="Arial"/>
        </w:rPr>
        <w:t xml:space="preserve">Graf </w:t>
      </w:r>
      <w:r w:rsidR="00CA0F1B" w:rsidRPr="00D06063">
        <w:rPr>
          <w:rFonts w:cs="Arial"/>
        </w:rPr>
        <w:fldChar w:fldCharType="begin"/>
      </w:r>
      <w:r w:rsidR="00CA0F1B" w:rsidRPr="00D06063">
        <w:rPr>
          <w:rFonts w:cs="Arial"/>
        </w:rPr>
        <w:instrText xml:space="preserve"> SEQ Graf \* ARABIC </w:instrText>
      </w:r>
      <w:r w:rsidR="00CA0F1B" w:rsidRPr="00D06063">
        <w:rPr>
          <w:rFonts w:cs="Arial"/>
        </w:rPr>
        <w:fldChar w:fldCharType="separate"/>
      </w:r>
      <w:r w:rsidR="00CA0F1B" w:rsidRPr="00D06063">
        <w:rPr>
          <w:rFonts w:cs="Arial"/>
        </w:rPr>
        <w:t>15</w:t>
      </w:r>
      <w:r w:rsidR="00CA0F1B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r w:rsidR="00E75D66">
        <w:rPr>
          <w:rFonts w:cs="Arial"/>
        </w:rPr>
        <w:t xml:space="preserve">– </w:t>
      </w:r>
      <w:r w:rsidRPr="00D06063">
        <w:rPr>
          <w:rFonts w:cs="Arial"/>
        </w:rPr>
        <w:t>Vytvoření nové vědecké skupiny v juniorských grantech</w:t>
      </w:r>
      <w:bookmarkEnd w:id="72"/>
      <w:bookmarkEnd w:id="73"/>
    </w:p>
    <w:p w:rsidR="00786F0D" w:rsidRPr="00D06063" w:rsidRDefault="00216728" w:rsidP="00535636">
      <w:pPr>
        <w:pStyle w:val="Titulek"/>
        <w:spacing w:after="60"/>
        <w:rPr>
          <w:rFonts w:eastAsia="Times New Roman" w:cs="Arial"/>
          <w:b w:val="0"/>
          <w:iCs w:val="0"/>
          <w:color w:val="44546A"/>
          <w:lang w:eastAsia="cs-CZ"/>
        </w:rPr>
      </w:pPr>
      <w:r>
        <w:rPr>
          <w:rFonts w:eastAsia="Times New Roman" w:cs="Arial"/>
          <w:b w:val="0"/>
          <w:iCs w:val="0"/>
          <w:noProof/>
          <w:color w:val="44546A"/>
          <w:lang w:eastAsia="cs-CZ"/>
        </w:rPr>
        <w:drawing>
          <wp:inline distT="0" distB="0" distL="0" distR="0">
            <wp:extent cx="4572635" cy="2840990"/>
            <wp:effectExtent l="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889859" name="Picture 1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2840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F0D" w:rsidRPr="00D06063" w:rsidRDefault="00216728" w:rsidP="00D06063">
      <w:pPr>
        <w:pStyle w:val="Poznmka"/>
        <w:rPr>
          <w:rFonts w:eastAsia="Times New Roman" w:cs="Arial"/>
        </w:rPr>
      </w:pPr>
      <w:r w:rsidRPr="00D06063">
        <w:rPr>
          <w:rFonts w:eastAsia="Times New Roman" w:cs="Arial"/>
        </w:rPr>
        <w:t>kategorie A: projekt, kde s</w:t>
      </w:r>
      <w:r w:rsidRPr="00D06063">
        <w:rPr>
          <w:rFonts w:eastAsia="Times New Roman" w:cs="Arial"/>
        </w:rPr>
        <w:t xml:space="preserve">e vytvořila nová nezávislá skupina, </w:t>
      </w:r>
      <w:r w:rsidR="00E15E7F" w:rsidRPr="00D06063">
        <w:rPr>
          <w:rFonts w:eastAsia="Times New Roman" w:cs="Arial"/>
        </w:rPr>
        <w:t>která publikovala výsledky týkající se nové tématiky</w:t>
      </w:r>
    </w:p>
    <w:p w:rsidR="00786F0D" w:rsidRPr="00D06063" w:rsidRDefault="00216728" w:rsidP="00D06063">
      <w:pPr>
        <w:pStyle w:val="Poznmka"/>
        <w:rPr>
          <w:rFonts w:eastAsia="Times New Roman" w:cs="Arial"/>
        </w:rPr>
      </w:pPr>
      <w:r w:rsidRPr="00D06063">
        <w:rPr>
          <w:rFonts w:eastAsia="Times New Roman" w:cs="Arial"/>
        </w:rPr>
        <w:t>kategorie B: projekt, kde byla vytvořena nezávislá skupina pouze částečně</w:t>
      </w:r>
      <w:r w:rsidR="00E15E7F" w:rsidRPr="00D06063">
        <w:rPr>
          <w:rFonts w:eastAsia="Times New Roman" w:cs="Arial"/>
        </w:rPr>
        <w:t>, přesto byly opublikovány cenné výsledky</w:t>
      </w:r>
      <w:r w:rsidRPr="00D06063">
        <w:rPr>
          <w:rFonts w:eastAsia="Times New Roman" w:cs="Arial"/>
        </w:rPr>
        <w:t xml:space="preserve"> </w:t>
      </w:r>
    </w:p>
    <w:p w:rsidR="00786F0D" w:rsidRPr="00D06063" w:rsidRDefault="00216728" w:rsidP="00D06063">
      <w:pPr>
        <w:pStyle w:val="Poznmka"/>
        <w:rPr>
          <w:rFonts w:eastAsia="Times New Roman" w:cs="Arial"/>
        </w:rPr>
      </w:pPr>
      <w:r w:rsidRPr="00D06063">
        <w:rPr>
          <w:rFonts w:eastAsia="Times New Roman" w:cs="Arial"/>
        </w:rPr>
        <w:t xml:space="preserve">kategorie C: projekt, kde k žádnému vytvoření </w:t>
      </w:r>
      <w:r w:rsidRPr="00D06063">
        <w:rPr>
          <w:rFonts w:eastAsia="Times New Roman" w:cs="Arial"/>
        </w:rPr>
        <w:t>nezávislé skupiny nedošlo</w:t>
      </w:r>
      <w:r w:rsidR="00E15E7F" w:rsidRPr="00D06063">
        <w:rPr>
          <w:rFonts w:eastAsia="Times New Roman" w:cs="Arial"/>
        </w:rPr>
        <w:t>, byly však opublikovány cenné výsledky</w:t>
      </w:r>
    </w:p>
    <w:p w:rsidR="00E75D66" w:rsidRPr="00D06063" w:rsidRDefault="00216728" w:rsidP="00535636">
      <w:pPr>
        <w:pStyle w:val="podobr"/>
        <w:spacing w:before="60"/>
        <w:rPr>
          <w:rFonts w:cs="Arial"/>
        </w:rPr>
      </w:pPr>
      <w:bookmarkStart w:id="74" w:name="_Toc10036278"/>
      <w:r w:rsidRPr="00D06063">
        <w:rPr>
          <w:rFonts w:cs="Arial"/>
        </w:rPr>
        <w:t>Zdroj: GA ČR</w:t>
      </w:r>
    </w:p>
    <w:p w:rsidR="00E75D66" w:rsidRDefault="00E75D66" w:rsidP="00182F23">
      <w:pPr>
        <w:pStyle w:val="Titulek"/>
        <w:rPr>
          <w:rFonts w:cs="Arial"/>
        </w:rPr>
      </w:pPr>
    </w:p>
    <w:p w:rsidR="00786F0D" w:rsidRPr="00D06063" w:rsidRDefault="00216728" w:rsidP="00535636">
      <w:pPr>
        <w:pStyle w:val="Titulek"/>
        <w:keepNext/>
        <w:rPr>
          <w:rFonts w:eastAsia="Times New Roman" w:cs="Arial"/>
          <w:b w:val="0"/>
          <w:iCs w:val="0"/>
          <w:color w:val="44546A"/>
          <w:lang w:eastAsia="cs-CZ"/>
        </w:rPr>
      </w:pPr>
      <w:bookmarkStart w:id="75" w:name="_Toc256000030"/>
      <w:r w:rsidRPr="00D06063">
        <w:rPr>
          <w:rFonts w:cs="Arial"/>
        </w:rPr>
        <w:t xml:space="preserve">Graf </w:t>
      </w:r>
      <w:bookmarkStart w:id="76" w:name="_Hlk9953348"/>
      <w:r w:rsidR="00D54156" w:rsidRPr="00D06063">
        <w:rPr>
          <w:rFonts w:cs="Arial"/>
        </w:rPr>
        <w:fldChar w:fldCharType="begin"/>
      </w:r>
      <w:r w:rsidR="00D54156" w:rsidRPr="00D06063">
        <w:rPr>
          <w:rFonts w:cs="Arial"/>
        </w:rPr>
        <w:instrText xml:space="preserve"> SEQ Graf \* ARABIC </w:instrText>
      </w:r>
      <w:r w:rsidR="00D54156" w:rsidRPr="00D06063">
        <w:rPr>
          <w:rFonts w:cs="Arial"/>
        </w:rPr>
        <w:fldChar w:fldCharType="separate"/>
      </w:r>
      <w:r w:rsidR="00D54156" w:rsidRPr="00D06063">
        <w:rPr>
          <w:rFonts w:cs="Arial"/>
        </w:rPr>
        <w:t>16</w:t>
      </w:r>
      <w:r w:rsidR="00D54156" w:rsidRPr="00D06063">
        <w:rPr>
          <w:rFonts w:cs="Arial"/>
          <w:noProof/>
        </w:rPr>
        <w:fldChar w:fldCharType="end"/>
      </w:r>
      <w:r w:rsidRPr="00D06063">
        <w:rPr>
          <w:rFonts w:cs="Arial"/>
        </w:rPr>
        <w:t xml:space="preserve"> </w:t>
      </w:r>
      <w:bookmarkEnd w:id="76"/>
      <w:r w:rsidR="00E75D66">
        <w:rPr>
          <w:rFonts w:cs="Arial"/>
        </w:rPr>
        <w:t xml:space="preserve">– </w:t>
      </w:r>
      <w:r w:rsidRPr="00D06063">
        <w:rPr>
          <w:rFonts w:cs="Arial"/>
        </w:rPr>
        <w:t>Vytvoření nové vědecké skupiny v juniorských grantech podle oborů</w:t>
      </w:r>
      <w:bookmarkEnd w:id="74"/>
      <w:bookmarkEnd w:id="75"/>
    </w:p>
    <w:p w:rsidR="00786F0D" w:rsidRPr="00D06063" w:rsidRDefault="00216728" w:rsidP="00535636">
      <w:pPr>
        <w:keepNext/>
        <w:spacing w:after="0" w:line="271" w:lineRule="auto"/>
        <w:rPr>
          <w:rFonts w:eastAsia="Times New Roman" w:cs="Arial"/>
          <w:szCs w:val="24"/>
          <w:lang w:eastAsia="cs-CZ"/>
        </w:rPr>
      </w:pPr>
      <w:r>
        <w:rPr>
          <w:rFonts w:eastAsia="Times New Roman" w:cs="Arial"/>
          <w:noProof/>
          <w:szCs w:val="24"/>
          <w:lang w:eastAsia="cs-CZ"/>
        </w:rPr>
        <w:drawing>
          <wp:inline distT="0" distB="0" distL="0" distR="0">
            <wp:extent cx="5157470" cy="2536190"/>
            <wp:effectExtent l="0" t="0" r="5080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52051" name="Picture 1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7470" cy="2536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5E7F" w:rsidRPr="00D06063" w:rsidRDefault="00216728" w:rsidP="00D06063">
      <w:pPr>
        <w:pStyle w:val="Poznmka"/>
        <w:rPr>
          <w:rFonts w:eastAsia="Times New Roman" w:cs="Arial"/>
        </w:rPr>
      </w:pPr>
      <w:r w:rsidRPr="00D06063">
        <w:rPr>
          <w:rFonts w:eastAsia="Times New Roman" w:cs="Arial"/>
        </w:rPr>
        <w:t>kategorie A: projekt, kde se vytvořila nová nezávislá skupina, která publiko</w:t>
      </w:r>
      <w:r w:rsidRPr="00D06063">
        <w:rPr>
          <w:rFonts w:eastAsia="Times New Roman" w:cs="Arial"/>
        </w:rPr>
        <w:t xml:space="preserve">vala výsledky týkající se nové tématiky </w:t>
      </w:r>
    </w:p>
    <w:p w:rsidR="00786F0D" w:rsidRPr="00D06063" w:rsidRDefault="00216728" w:rsidP="00D06063">
      <w:pPr>
        <w:pStyle w:val="Poznmka"/>
        <w:rPr>
          <w:rFonts w:eastAsia="Times New Roman" w:cs="Arial"/>
        </w:rPr>
      </w:pPr>
      <w:r w:rsidRPr="00D06063">
        <w:rPr>
          <w:rFonts w:eastAsia="Times New Roman" w:cs="Arial"/>
        </w:rPr>
        <w:t>kategorie B: projekt, kde byla vytvořena nezávislá skupina pouze částečně</w:t>
      </w:r>
      <w:r w:rsidR="00E15E7F" w:rsidRPr="00D06063">
        <w:rPr>
          <w:rFonts w:eastAsia="Times New Roman" w:cs="Arial"/>
        </w:rPr>
        <w:t>, přesto byly opublikovány cenné výsledky</w:t>
      </w:r>
      <w:r w:rsidRPr="00D06063">
        <w:rPr>
          <w:rFonts w:eastAsia="Times New Roman" w:cs="Arial"/>
        </w:rPr>
        <w:t xml:space="preserve"> </w:t>
      </w:r>
    </w:p>
    <w:p w:rsidR="00786F0D" w:rsidRPr="00D06063" w:rsidRDefault="00216728" w:rsidP="00D06063">
      <w:pPr>
        <w:pStyle w:val="Poznmka"/>
        <w:rPr>
          <w:rFonts w:eastAsia="Times New Roman" w:cs="Arial"/>
        </w:rPr>
      </w:pPr>
      <w:r w:rsidRPr="00D06063">
        <w:rPr>
          <w:rFonts w:eastAsia="Times New Roman" w:cs="Arial"/>
        </w:rPr>
        <w:t>kategorie C: projekt, kde k žádnému vytvoření nezávislé skupiny nedošlo</w:t>
      </w:r>
      <w:r w:rsidR="00E15E7F" w:rsidRPr="00D06063">
        <w:rPr>
          <w:rFonts w:eastAsia="Times New Roman" w:cs="Arial"/>
        </w:rPr>
        <w:t>, byly však opublikovány cenné výsledky</w:t>
      </w:r>
    </w:p>
    <w:p w:rsidR="004A2EA1" w:rsidRPr="00D06063" w:rsidRDefault="00216728" w:rsidP="00535636">
      <w:pPr>
        <w:pStyle w:val="podobr"/>
        <w:keepNext/>
        <w:spacing w:before="60"/>
        <w:rPr>
          <w:rFonts w:cs="Arial"/>
        </w:rPr>
      </w:pPr>
      <w:r w:rsidRPr="00D06063">
        <w:rPr>
          <w:rFonts w:cs="Arial"/>
        </w:rPr>
        <w:t>Zdroj: GA ČR</w:t>
      </w:r>
    </w:p>
    <w:p w:rsidR="00786F0D" w:rsidRPr="00D06063" w:rsidRDefault="00786F0D" w:rsidP="00535636">
      <w:pPr>
        <w:spacing w:line="271" w:lineRule="auto"/>
        <w:rPr>
          <w:rFonts w:eastAsia="Times New Roman" w:cs="Arial"/>
          <w:i/>
          <w:color w:val="A6A6A6"/>
          <w:sz w:val="16"/>
          <w:szCs w:val="24"/>
          <w:lang w:eastAsia="cs-CZ" w:bidi="en-US"/>
        </w:rPr>
      </w:pPr>
    </w:p>
    <w:p w:rsidR="00786F0D" w:rsidRPr="00D06063" w:rsidRDefault="00216728" w:rsidP="00D06063">
      <w:pPr>
        <w:rPr>
          <w:rFonts w:cs="Arial"/>
          <w:lang w:eastAsia="cs-CZ"/>
        </w:rPr>
      </w:pPr>
      <w:r w:rsidRPr="00D06063">
        <w:rPr>
          <w:rFonts w:cs="Arial"/>
          <w:lang w:eastAsia="cs-CZ"/>
        </w:rPr>
        <w:t xml:space="preserve">Další motivací pro zavedení skupiny juniorských grantů </w:t>
      </w:r>
      <w:r w:rsidR="00070B5A" w:rsidRPr="00D06063">
        <w:rPr>
          <w:rFonts w:cs="Arial"/>
          <w:lang w:eastAsia="cs-CZ"/>
        </w:rPr>
        <w:t>byl</w:t>
      </w:r>
      <w:r w:rsidR="00070B5A">
        <w:rPr>
          <w:rFonts w:cs="Arial"/>
          <w:lang w:eastAsia="cs-CZ"/>
        </w:rPr>
        <w:t>a</w:t>
      </w:r>
      <w:r w:rsidR="00070B5A" w:rsidRPr="00D06063">
        <w:rPr>
          <w:rFonts w:cs="Arial"/>
          <w:lang w:eastAsia="cs-CZ"/>
        </w:rPr>
        <w:t xml:space="preserve"> </w:t>
      </w:r>
      <w:r w:rsidRPr="00D06063">
        <w:rPr>
          <w:rFonts w:cs="Arial"/>
          <w:lang w:eastAsia="cs-CZ"/>
        </w:rPr>
        <w:t xml:space="preserve">snaha o zvýšení úspěšnosti vědců z ČR v mezinárodních soutěžích, konkrétně pak ve Starting </w:t>
      </w:r>
      <w:r w:rsidR="00070B5A">
        <w:rPr>
          <w:rFonts w:cs="Arial"/>
          <w:lang w:eastAsia="cs-CZ"/>
        </w:rPr>
        <w:t>G</w:t>
      </w:r>
      <w:r w:rsidR="00070B5A" w:rsidRPr="00D06063">
        <w:rPr>
          <w:rFonts w:cs="Arial"/>
          <w:lang w:eastAsia="cs-CZ"/>
        </w:rPr>
        <w:t xml:space="preserve">rants </w:t>
      </w:r>
      <w:r w:rsidRPr="00D06063">
        <w:rPr>
          <w:rFonts w:cs="Arial"/>
          <w:lang w:eastAsia="cs-CZ"/>
        </w:rPr>
        <w:t xml:space="preserve">a Advanced Grants. </w:t>
      </w:r>
    </w:p>
    <w:p w:rsidR="0043728B" w:rsidRPr="00D06063" w:rsidRDefault="00216728" w:rsidP="0043728B">
      <w:pPr>
        <w:rPr>
          <w:rFonts w:cs="Arial"/>
        </w:rPr>
      </w:pPr>
      <w:r w:rsidRPr="00D06063">
        <w:rPr>
          <w:rFonts w:cs="Arial"/>
        </w:rPr>
        <w:t>V rámci ERC soutěže Starting Grants v letech 2007</w:t>
      </w:r>
      <w:r w:rsidR="00070B5A">
        <w:rPr>
          <w:rFonts w:cs="Arial"/>
        </w:rPr>
        <w:t>–</w:t>
      </w:r>
      <w:r w:rsidRPr="00D06063">
        <w:rPr>
          <w:rFonts w:cs="Arial"/>
        </w:rPr>
        <w:t>2018 hodnotila ERC celkem 40</w:t>
      </w:r>
      <w:r w:rsidR="00070B5A">
        <w:rPr>
          <w:rFonts w:cs="Arial"/>
        </w:rPr>
        <w:t> </w:t>
      </w:r>
      <w:r w:rsidR="00070B5A" w:rsidRPr="00D06063">
        <w:rPr>
          <w:rFonts w:cs="Arial"/>
        </w:rPr>
        <w:t>960</w:t>
      </w:r>
      <w:r w:rsidR="00070B5A">
        <w:rPr>
          <w:rFonts w:cs="Arial"/>
        </w:rPr>
        <w:t> </w:t>
      </w:r>
      <w:r w:rsidRPr="00D06063">
        <w:rPr>
          <w:rFonts w:cs="Arial"/>
        </w:rPr>
        <w:t xml:space="preserve">návrhů, z nichž ERC udělila celkem 4 257 grantů. ČR podala celkem 350 návrhů v rámci výzvy Starting Grants, tj. 0,9 % z celkových podaných návrhů. Od vzniku Evropské výzkumné rady získala ČR celkem 17 grantů </w:t>
      </w:r>
      <w:r w:rsidR="00070B5A" w:rsidRPr="00D06063">
        <w:rPr>
          <w:rFonts w:cs="Arial"/>
        </w:rPr>
        <w:t>v</w:t>
      </w:r>
      <w:r w:rsidR="00070B5A">
        <w:rPr>
          <w:rFonts w:cs="Arial"/>
        </w:rPr>
        <w:t xml:space="preserve"> rámci</w:t>
      </w:r>
      <w:r w:rsidR="00070B5A" w:rsidRPr="00D06063">
        <w:rPr>
          <w:rFonts w:cs="Arial"/>
        </w:rPr>
        <w:t> </w:t>
      </w:r>
      <w:r w:rsidRPr="00D06063">
        <w:rPr>
          <w:rFonts w:cs="Arial"/>
        </w:rPr>
        <w:t>Startin</w:t>
      </w:r>
      <w:r w:rsidRPr="00D06063">
        <w:rPr>
          <w:rFonts w:cs="Arial"/>
        </w:rPr>
        <w:t>g Grants, což představuje necelou 5% úspěšnost. Z</w:t>
      </w:r>
      <w:r w:rsidR="00D06063" w:rsidRPr="00D06063">
        <w:rPr>
          <w:rFonts w:cs="Arial"/>
        </w:rPr>
        <w:t xml:space="preserve"> </w:t>
      </w:r>
      <w:r w:rsidRPr="00D06063">
        <w:rPr>
          <w:rFonts w:cs="Arial"/>
        </w:rPr>
        <w:t>celkového počtu udělených ERC grantů získala ČR pouze 0,4 %.</w:t>
      </w:r>
    </w:p>
    <w:p w:rsidR="0043728B" w:rsidRDefault="00216728" w:rsidP="00922B68">
      <w:pPr>
        <w:pStyle w:val="Titulek"/>
        <w:rPr>
          <w:rFonts w:cs="Arial"/>
        </w:rPr>
      </w:pPr>
      <w:bookmarkStart w:id="77" w:name="_Toc256000045"/>
      <w:bookmarkStart w:id="78" w:name="_Toc10036293"/>
      <w:r w:rsidRPr="00D06063">
        <w:rPr>
          <w:rFonts w:cs="Arial"/>
        </w:rPr>
        <w:t xml:space="preserve">Tabulka </w:t>
      </w:r>
      <w:r w:rsidRPr="00D06063">
        <w:rPr>
          <w:rFonts w:cs="Arial"/>
        </w:rPr>
        <w:fldChar w:fldCharType="begin"/>
      </w:r>
      <w:r w:rsidRPr="00D06063">
        <w:rPr>
          <w:rFonts w:cs="Arial"/>
        </w:rPr>
        <w:instrText xml:space="preserve"> SEQ Tabulka \* ARABIC </w:instrText>
      </w:r>
      <w:r w:rsidRPr="00D06063">
        <w:rPr>
          <w:rFonts w:cs="Arial"/>
        </w:rPr>
        <w:fldChar w:fldCharType="separate"/>
      </w:r>
      <w:r w:rsidRPr="00D06063">
        <w:rPr>
          <w:rFonts w:cs="Arial"/>
        </w:rPr>
        <w:t>8</w:t>
      </w:r>
      <w:r w:rsidRPr="00D06063">
        <w:rPr>
          <w:rFonts w:cs="Arial"/>
        </w:rPr>
        <w:fldChar w:fldCharType="end"/>
      </w:r>
      <w:r w:rsidR="00617058">
        <w:rPr>
          <w:rFonts w:cs="Arial"/>
        </w:rPr>
        <w:t xml:space="preserve"> –</w:t>
      </w:r>
      <w:r w:rsidRPr="00D06063">
        <w:rPr>
          <w:rFonts w:cs="Arial"/>
        </w:rPr>
        <w:t xml:space="preserve"> Starting Grants v letech 2007</w:t>
      </w:r>
      <w:r w:rsidR="006208C1">
        <w:rPr>
          <w:rFonts w:cs="Arial"/>
        </w:rPr>
        <w:t>–</w:t>
      </w:r>
      <w:r w:rsidRPr="00D06063">
        <w:rPr>
          <w:rFonts w:cs="Arial"/>
        </w:rPr>
        <w:t>2018</w:t>
      </w:r>
      <w:bookmarkEnd w:id="77"/>
      <w:bookmarkEnd w:id="78"/>
    </w:p>
    <w:p w:rsidR="006208C1" w:rsidRPr="006208C1" w:rsidRDefault="00216728" w:rsidP="00535636">
      <w:pPr>
        <w:spacing w:after="0"/>
      </w:pPr>
      <w:r>
        <w:rPr>
          <w:noProof/>
          <w:lang w:eastAsia="cs-CZ"/>
        </w:rPr>
        <w:drawing>
          <wp:inline distT="0" distB="0" distL="0" distR="0">
            <wp:extent cx="5760720" cy="2253615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955504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28B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  <w:noProof/>
        </w:rPr>
        <w:t>Zdroj: ERC, vlastní výpočty</w:t>
      </w:r>
    </w:p>
    <w:p w:rsidR="0043728B" w:rsidRPr="00D06063" w:rsidRDefault="0043728B" w:rsidP="0043728B">
      <w:pPr>
        <w:rPr>
          <w:rFonts w:cs="Arial"/>
          <w:highlight w:val="yellow"/>
        </w:rPr>
      </w:pPr>
    </w:p>
    <w:p w:rsidR="0043728B" w:rsidRPr="00D06063" w:rsidRDefault="00216728" w:rsidP="00D06063">
      <w:pPr>
        <w:rPr>
          <w:rFonts w:cs="Arial"/>
        </w:rPr>
      </w:pPr>
      <w:r w:rsidRPr="00D06063">
        <w:rPr>
          <w:rFonts w:cs="Arial"/>
        </w:rPr>
        <w:t xml:space="preserve">Za období 2007–2015 hodnotila ERC celkem </w:t>
      </w:r>
      <w:r w:rsidRPr="00D06063">
        <w:rPr>
          <w:rFonts w:cs="Arial"/>
        </w:rPr>
        <w:t>16 583 návrhů v rámci výzvy Advanced Grants (ČR podala 123 návrhů v rámci výzvy Advanced Grants.), z nichž finanční podporu získalo 2 178 návrhů. Od roku 2007 získali čeští vědci celkem 7 ERC grantů v této soutěži. ČR nezískala od roku 2016</w:t>
      </w:r>
      <w:r w:rsidR="00B164EC" w:rsidRPr="00B164EC">
        <w:rPr>
          <w:rFonts w:cs="Arial"/>
        </w:rPr>
        <w:t xml:space="preserve"> </w:t>
      </w:r>
      <w:r w:rsidR="00B164EC" w:rsidRPr="00D06063">
        <w:rPr>
          <w:rFonts w:cs="Arial"/>
        </w:rPr>
        <w:t xml:space="preserve">žádný Advanced </w:t>
      </w:r>
      <w:r w:rsidR="00B164EC">
        <w:rPr>
          <w:rFonts w:cs="Arial"/>
        </w:rPr>
        <w:t>G</w:t>
      </w:r>
      <w:r w:rsidR="00B164EC" w:rsidRPr="00D06063">
        <w:rPr>
          <w:rFonts w:cs="Arial"/>
        </w:rPr>
        <w:t>rant</w:t>
      </w:r>
      <w:r w:rsidRPr="00D06063">
        <w:rPr>
          <w:rFonts w:cs="Arial"/>
        </w:rPr>
        <w:t>.</w:t>
      </w:r>
    </w:p>
    <w:p w:rsidR="0043728B" w:rsidRPr="00D06063" w:rsidRDefault="00216728" w:rsidP="00535636">
      <w:pPr>
        <w:spacing w:after="0"/>
        <w:rPr>
          <w:rFonts w:eastAsia="Times New Roman" w:cs="Arial"/>
          <w:szCs w:val="24"/>
          <w:lang w:eastAsia="cs-CZ"/>
        </w:rPr>
      </w:pPr>
      <w:r w:rsidRPr="00D06063">
        <w:rPr>
          <w:rFonts w:eastAsia="Times New Roman" w:cs="Arial"/>
          <w:szCs w:val="24"/>
          <w:lang w:eastAsia="cs-CZ"/>
        </w:rPr>
        <w:t xml:space="preserve">Za ČR bylo podáno za období 2016–2018 celkem 67 návrhů Starting Grants. Od roku 2016 získalo Starting Grant celkem 8 řešitelů z ČR, a to </w:t>
      </w:r>
      <w:r w:rsidR="004B4B68">
        <w:rPr>
          <w:rFonts w:eastAsia="Times New Roman" w:cs="Arial"/>
          <w:szCs w:val="24"/>
          <w:lang w:eastAsia="cs-CZ"/>
        </w:rPr>
        <w:t>2</w:t>
      </w:r>
      <w:r w:rsidR="004B4B68" w:rsidRPr="00D06063">
        <w:rPr>
          <w:rFonts w:eastAsia="Times New Roman" w:cs="Arial"/>
          <w:szCs w:val="24"/>
          <w:lang w:eastAsia="cs-CZ"/>
        </w:rPr>
        <w:t xml:space="preserve"> </w:t>
      </w:r>
      <w:r w:rsidRPr="00D06063">
        <w:rPr>
          <w:rFonts w:eastAsia="Times New Roman" w:cs="Arial"/>
          <w:szCs w:val="24"/>
          <w:lang w:eastAsia="cs-CZ"/>
        </w:rPr>
        <w:t xml:space="preserve">v roce 2016, </w:t>
      </w:r>
      <w:r w:rsidR="004B4B68">
        <w:rPr>
          <w:rFonts w:eastAsia="Times New Roman" w:cs="Arial"/>
          <w:szCs w:val="24"/>
          <w:lang w:eastAsia="cs-CZ"/>
        </w:rPr>
        <w:t>1</w:t>
      </w:r>
      <w:r w:rsidR="004B4B68" w:rsidRPr="00D06063">
        <w:rPr>
          <w:rFonts w:eastAsia="Times New Roman" w:cs="Arial"/>
          <w:szCs w:val="24"/>
          <w:lang w:eastAsia="cs-CZ"/>
        </w:rPr>
        <w:t xml:space="preserve"> </w:t>
      </w:r>
      <w:r w:rsidRPr="00D06063">
        <w:rPr>
          <w:rFonts w:eastAsia="Times New Roman" w:cs="Arial"/>
          <w:szCs w:val="24"/>
          <w:lang w:eastAsia="cs-CZ"/>
        </w:rPr>
        <w:t xml:space="preserve">v roce 2017 a </w:t>
      </w:r>
      <w:r w:rsidR="004B4B68">
        <w:rPr>
          <w:rFonts w:eastAsia="Times New Roman" w:cs="Arial"/>
          <w:szCs w:val="24"/>
          <w:lang w:eastAsia="cs-CZ"/>
        </w:rPr>
        <w:t>5</w:t>
      </w:r>
      <w:r w:rsidR="004B4B68" w:rsidRPr="00D06063">
        <w:rPr>
          <w:rFonts w:eastAsia="Times New Roman" w:cs="Arial"/>
          <w:szCs w:val="24"/>
          <w:lang w:eastAsia="cs-CZ"/>
        </w:rPr>
        <w:t xml:space="preserve"> </w:t>
      </w:r>
      <w:r w:rsidRPr="00D06063">
        <w:rPr>
          <w:rFonts w:eastAsia="Times New Roman" w:cs="Arial"/>
          <w:szCs w:val="24"/>
          <w:lang w:eastAsia="cs-CZ"/>
        </w:rPr>
        <w:t>v roce 2018. Celkem tedy úspěšnost dos</w:t>
      </w:r>
      <w:r w:rsidR="004B4B68">
        <w:rPr>
          <w:rFonts w:eastAsia="Times New Roman" w:cs="Arial"/>
          <w:szCs w:val="24"/>
          <w:lang w:eastAsia="cs-CZ"/>
        </w:rPr>
        <w:t>á</w:t>
      </w:r>
      <w:r w:rsidRPr="00D06063">
        <w:rPr>
          <w:rFonts w:eastAsia="Times New Roman" w:cs="Arial"/>
          <w:szCs w:val="24"/>
          <w:lang w:eastAsia="cs-CZ"/>
        </w:rPr>
        <w:t>hla 12 %, což je výrazně lepší než v upl</w:t>
      </w:r>
      <w:r w:rsidRPr="00D06063">
        <w:rPr>
          <w:rFonts w:eastAsia="Times New Roman" w:cs="Arial"/>
          <w:szCs w:val="24"/>
          <w:lang w:eastAsia="cs-CZ"/>
        </w:rPr>
        <w:t xml:space="preserve">ynulých letech. Z pěti získaných Starting Grants v roce 2018 jsou čtyři </w:t>
      </w:r>
      <w:r w:rsidR="00535636">
        <w:rPr>
          <w:rFonts w:eastAsia="Times New Roman" w:cs="Arial"/>
          <w:szCs w:val="24"/>
          <w:lang w:eastAsia="cs-CZ"/>
        </w:rPr>
        <w:t xml:space="preserve">jejich </w:t>
      </w:r>
      <w:r w:rsidRPr="00D06063">
        <w:rPr>
          <w:rFonts w:eastAsia="Times New Roman" w:cs="Arial"/>
          <w:szCs w:val="24"/>
          <w:lang w:eastAsia="cs-CZ"/>
        </w:rPr>
        <w:t xml:space="preserve">řešitelé </w:t>
      </w:r>
      <w:r w:rsidR="00535636">
        <w:rPr>
          <w:rFonts w:eastAsia="Times New Roman" w:cs="Arial"/>
          <w:szCs w:val="24"/>
          <w:lang w:eastAsia="cs-CZ"/>
        </w:rPr>
        <w:t xml:space="preserve">současně řešiteli </w:t>
      </w:r>
      <w:r w:rsidRPr="00D06063">
        <w:rPr>
          <w:rFonts w:eastAsia="Times New Roman" w:cs="Arial"/>
          <w:szCs w:val="24"/>
          <w:lang w:eastAsia="cs-CZ"/>
        </w:rPr>
        <w:t>juniorských grantů GA ČR, tj</w:t>
      </w:r>
      <w:r w:rsidR="00FA5982" w:rsidRPr="00D06063">
        <w:rPr>
          <w:rFonts w:eastAsia="Times New Roman" w:cs="Arial"/>
          <w:szCs w:val="24"/>
          <w:lang w:eastAsia="cs-CZ"/>
        </w:rPr>
        <w:t>.</w:t>
      </w:r>
      <w:r w:rsidR="00FA5982">
        <w:rPr>
          <w:rFonts w:eastAsia="Times New Roman" w:cs="Arial"/>
          <w:szCs w:val="24"/>
          <w:lang w:eastAsia="cs-CZ"/>
        </w:rPr>
        <w:t> </w:t>
      </w:r>
      <w:r w:rsidR="00FA5982" w:rsidRPr="00D06063">
        <w:rPr>
          <w:rFonts w:eastAsia="Times New Roman" w:cs="Arial"/>
          <w:szCs w:val="24"/>
          <w:lang w:eastAsia="cs-CZ"/>
        </w:rPr>
        <w:t>80</w:t>
      </w:r>
      <w:r w:rsidR="00FA5982">
        <w:rPr>
          <w:rFonts w:eastAsia="Times New Roman" w:cs="Arial"/>
          <w:szCs w:val="24"/>
          <w:lang w:eastAsia="cs-CZ"/>
        </w:rPr>
        <w:t> </w:t>
      </w:r>
      <w:r w:rsidRPr="00D06063">
        <w:rPr>
          <w:rFonts w:eastAsia="Times New Roman" w:cs="Arial"/>
          <w:szCs w:val="24"/>
          <w:lang w:eastAsia="cs-CZ"/>
        </w:rPr>
        <w:t xml:space="preserve">%. </w:t>
      </w:r>
    </w:p>
    <w:p w:rsidR="00786F0D" w:rsidRPr="00D06063" w:rsidRDefault="00786F0D" w:rsidP="00786F0D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7E7AE1">
      <w:pPr>
        <w:pStyle w:val="Titulek"/>
        <w:rPr>
          <w:rFonts w:eastAsia="Times New Roman" w:cs="Arial"/>
          <w:b w:val="0"/>
          <w:iCs w:val="0"/>
          <w:color w:val="44546A"/>
          <w:lang w:eastAsia="cs-CZ"/>
        </w:rPr>
      </w:pPr>
      <w:bookmarkStart w:id="79" w:name="_Toc256000031"/>
      <w:bookmarkStart w:id="80" w:name="_Toc10036279"/>
      <w:r w:rsidRPr="00D06063">
        <w:rPr>
          <w:rFonts w:cs="Arial"/>
        </w:rPr>
        <w:t xml:space="preserve">Graf </w:t>
      </w:r>
      <w:r w:rsidRPr="00D06063">
        <w:rPr>
          <w:rFonts w:cs="Arial"/>
        </w:rPr>
        <w:fldChar w:fldCharType="begin"/>
      </w:r>
      <w:r w:rsidRPr="00D06063">
        <w:rPr>
          <w:rFonts w:cs="Arial"/>
        </w:rPr>
        <w:instrText xml:space="preserve"> SEQ Graf \* ARABIC </w:instrText>
      </w:r>
      <w:r w:rsidRPr="00D06063">
        <w:rPr>
          <w:rFonts w:cs="Arial"/>
        </w:rPr>
        <w:fldChar w:fldCharType="separate"/>
      </w:r>
      <w:r w:rsidRPr="00D06063">
        <w:rPr>
          <w:rFonts w:cs="Arial"/>
        </w:rPr>
        <w:t>17</w:t>
      </w:r>
      <w:r w:rsidRPr="00D06063">
        <w:rPr>
          <w:rFonts w:cs="Arial"/>
        </w:rPr>
        <w:fldChar w:fldCharType="end"/>
      </w:r>
      <w:r w:rsidRPr="00D06063">
        <w:rPr>
          <w:rFonts w:cs="Arial"/>
        </w:rPr>
        <w:t xml:space="preserve"> </w:t>
      </w:r>
      <w:r w:rsidR="002844A0">
        <w:rPr>
          <w:rFonts w:cs="Arial"/>
        </w:rPr>
        <w:t xml:space="preserve">– </w:t>
      </w:r>
      <w:r w:rsidRPr="00D06063">
        <w:rPr>
          <w:rFonts w:cs="Arial"/>
        </w:rPr>
        <w:t xml:space="preserve">Počty podaných a udělených Starting Grants ERC projektů v ČR </w:t>
      </w:r>
      <w:r w:rsidR="002844A0">
        <w:rPr>
          <w:rFonts w:cs="Arial"/>
        </w:rPr>
        <w:br/>
      </w:r>
      <w:r w:rsidRPr="00D06063">
        <w:rPr>
          <w:rFonts w:cs="Arial"/>
        </w:rPr>
        <w:t>v letech 2007</w:t>
      </w:r>
      <w:r w:rsidR="002844A0">
        <w:rPr>
          <w:rFonts w:cs="Arial"/>
        </w:rPr>
        <w:t>–</w:t>
      </w:r>
      <w:r w:rsidRPr="00D06063">
        <w:rPr>
          <w:rFonts w:cs="Arial"/>
        </w:rPr>
        <w:t>2018</w:t>
      </w:r>
      <w:bookmarkEnd w:id="79"/>
      <w:bookmarkEnd w:id="80"/>
    </w:p>
    <w:p w:rsidR="00786F0D" w:rsidRPr="00D06063" w:rsidRDefault="00216728" w:rsidP="00535636">
      <w:pPr>
        <w:spacing w:after="0" w:line="271" w:lineRule="auto"/>
        <w:rPr>
          <w:rFonts w:eastAsia="Times New Roman" w:cs="Arial"/>
          <w:b/>
          <w:iCs/>
          <w:color w:val="44546A"/>
          <w:szCs w:val="18"/>
          <w:lang w:eastAsia="cs-CZ"/>
        </w:rPr>
      </w:pPr>
      <w:r>
        <w:rPr>
          <w:rFonts w:eastAsia="Times New Roman" w:cs="Arial"/>
          <w:b/>
          <w:iCs/>
          <w:noProof/>
          <w:color w:val="44546A"/>
          <w:szCs w:val="18"/>
          <w:lang w:eastAsia="cs-CZ"/>
        </w:rPr>
        <w:drawing>
          <wp:inline distT="0" distB="0" distL="0" distR="0">
            <wp:extent cx="5761355" cy="2810510"/>
            <wp:effectExtent l="0" t="0" r="0" b="889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185172" name="Picture 1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81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F0D" w:rsidRPr="00D06063" w:rsidRDefault="00216728" w:rsidP="00535636">
      <w:pPr>
        <w:pStyle w:val="podobr"/>
        <w:spacing w:before="60"/>
        <w:rPr>
          <w:rFonts w:cs="Arial"/>
        </w:rPr>
      </w:pPr>
      <w:r w:rsidRPr="00D06063">
        <w:rPr>
          <w:rFonts w:cs="Arial"/>
          <w:noProof/>
        </w:rPr>
        <w:t>Zdroj: ERC, GA ČR</w:t>
      </w:r>
    </w:p>
    <w:p w:rsidR="00894BB3" w:rsidRPr="00D06063" w:rsidRDefault="00894BB3" w:rsidP="00535636">
      <w:pPr>
        <w:spacing w:line="271" w:lineRule="auto"/>
        <w:rPr>
          <w:rFonts w:eastAsia="Times New Roman" w:cs="Arial"/>
          <w:szCs w:val="24"/>
          <w:lang w:eastAsia="cs-CZ"/>
        </w:rPr>
      </w:pPr>
    </w:p>
    <w:p w:rsidR="0043728B" w:rsidRPr="00D06063" w:rsidRDefault="00216728" w:rsidP="007E7AE1">
      <w:pPr>
        <w:pStyle w:val="Titulek"/>
        <w:rPr>
          <w:rFonts w:cs="Arial"/>
        </w:rPr>
      </w:pPr>
      <w:bookmarkStart w:id="81" w:name="_Toc256000032"/>
      <w:bookmarkStart w:id="82" w:name="_Toc10036280"/>
      <w:r w:rsidRPr="00D06063">
        <w:rPr>
          <w:rFonts w:cs="Arial"/>
        </w:rPr>
        <w:t xml:space="preserve">Graf </w:t>
      </w:r>
      <w:r w:rsidRPr="00D06063">
        <w:rPr>
          <w:rFonts w:cs="Arial"/>
        </w:rPr>
        <w:fldChar w:fldCharType="begin"/>
      </w:r>
      <w:r w:rsidRPr="00D06063">
        <w:rPr>
          <w:rFonts w:cs="Arial"/>
        </w:rPr>
        <w:instrText xml:space="preserve"> SEQ Graf \* ARABIC </w:instrText>
      </w:r>
      <w:r w:rsidRPr="00D06063">
        <w:rPr>
          <w:rFonts w:cs="Arial"/>
        </w:rPr>
        <w:fldChar w:fldCharType="separate"/>
      </w:r>
      <w:r w:rsidRPr="00D06063">
        <w:rPr>
          <w:rFonts w:cs="Arial"/>
        </w:rPr>
        <w:t>18</w:t>
      </w:r>
      <w:r w:rsidRPr="00D06063">
        <w:rPr>
          <w:rFonts w:cs="Arial"/>
        </w:rPr>
        <w:fldChar w:fldCharType="end"/>
      </w:r>
      <w:r w:rsidRPr="00D06063">
        <w:rPr>
          <w:rFonts w:cs="Arial"/>
        </w:rPr>
        <w:t xml:space="preserve"> </w:t>
      </w:r>
      <w:r w:rsidR="00B13410">
        <w:rPr>
          <w:rFonts w:cs="Arial"/>
        </w:rPr>
        <w:t xml:space="preserve">– </w:t>
      </w:r>
      <w:r w:rsidRPr="00D06063">
        <w:rPr>
          <w:rFonts w:cs="Arial"/>
        </w:rPr>
        <w:t>Podíl podaných a udělených Starting Grants ERC projektů v ČR podle oborů za období 2007</w:t>
      </w:r>
      <w:r w:rsidR="000E4591">
        <w:rPr>
          <w:rFonts w:cs="Arial"/>
        </w:rPr>
        <w:t>–</w:t>
      </w:r>
      <w:r w:rsidRPr="00D06063">
        <w:rPr>
          <w:rFonts w:cs="Arial"/>
        </w:rPr>
        <w:t>2018</w:t>
      </w:r>
      <w:bookmarkEnd w:id="81"/>
      <w:bookmarkEnd w:id="82"/>
    </w:p>
    <w:p w:rsidR="0043728B" w:rsidRPr="00776770" w:rsidRDefault="00216728" w:rsidP="00535636">
      <w:pPr>
        <w:spacing w:before="60"/>
        <w:rPr>
          <w:rFonts w:cs="Arial"/>
          <w:i/>
          <w:noProof/>
          <w:color w:val="1F497D" w:themeColor="text2"/>
          <w:sz w:val="20"/>
          <w:szCs w:val="20"/>
        </w:rPr>
      </w:pPr>
      <w:r w:rsidRPr="00776770">
        <w:rPr>
          <w:rFonts w:cs="Arial"/>
          <w:i/>
          <w:noProof/>
          <w:color w:val="1F497D" w:themeColor="text2"/>
          <w:sz w:val="20"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-433070</wp:posOffset>
            </wp:positionH>
            <wp:positionV relativeFrom="paragraph">
              <wp:posOffset>47625</wp:posOffset>
            </wp:positionV>
            <wp:extent cx="3907790" cy="2383790"/>
            <wp:effectExtent l="0" t="0" r="0" b="0"/>
            <wp:wrapTight wrapText="bothSides">
              <wp:wrapPolygon edited="0">
                <wp:start x="0" y="0"/>
                <wp:lineTo x="0" y="21404"/>
                <wp:lineTo x="21481" y="21404"/>
                <wp:lineTo x="21481" y="0"/>
                <wp:lineTo x="0" y="0"/>
              </wp:wrapPolygon>
            </wp:wrapTight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962388" name="Picture 1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790" cy="2383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0230" w:rsidRPr="00776770">
        <w:rPr>
          <w:rFonts w:cs="Arial"/>
          <w:i/>
          <w:noProof/>
          <w:color w:val="1F497D" w:themeColor="text2"/>
          <w:sz w:val="20"/>
          <w:szCs w:val="20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3319780</wp:posOffset>
            </wp:positionH>
            <wp:positionV relativeFrom="paragraph">
              <wp:posOffset>47625</wp:posOffset>
            </wp:positionV>
            <wp:extent cx="2834640" cy="2383790"/>
            <wp:effectExtent l="0" t="0" r="3810" b="0"/>
            <wp:wrapTight wrapText="bothSides">
              <wp:wrapPolygon edited="0">
                <wp:start x="0" y="0"/>
                <wp:lineTo x="0" y="21404"/>
                <wp:lineTo x="21484" y="21404"/>
                <wp:lineTo x="21484" y="0"/>
                <wp:lineTo x="0" y="0"/>
              </wp:wrapPolygon>
            </wp:wrapTight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919090" name="Picture 1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2383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76770">
        <w:rPr>
          <w:rFonts w:cs="Arial"/>
          <w:i/>
          <w:noProof/>
          <w:color w:val="1F497D" w:themeColor="text2"/>
          <w:sz w:val="20"/>
          <w:szCs w:val="20"/>
        </w:rPr>
        <w:t>Zdroj: ERC, vlastní výpočty</w:t>
      </w:r>
    </w:p>
    <w:p w:rsidR="00786F0D" w:rsidRPr="00894BB3" w:rsidRDefault="00216728" w:rsidP="00535636">
      <w:pPr>
        <w:pStyle w:val="Nadpis2"/>
        <w:numPr>
          <w:ilvl w:val="1"/>
          <w:numId w:val="16"/>
        </w:numPr>
        <w:rPr>
          <w:rFonts w:eastAsia="Times New Roman" w:cs="Arial"/>
          <w:lang w:eastAsia="cs-CZ"/>
        </w:rPr>
      </w:pPr>
      <w:bookmarkStart w:id="83" w:name="_Toc7650702"/>
      <w:r>
        <w:rPr>
          <w:rFonts w:eastAsia="Times New Roman" w:cs="Arial"/>
          <w:lang w:eastAsia="cs-CZ"/>
        </w:rPr>
        <w:t xml:space="preserve">  </w:t>
      </w:r>
      <w:bookmarkStart w:id="84" w:name="_Toc256000009"/>
      <w:bookmarkStart w:id="85" w:name="_Toc14183928"/>
      <w:r w:rsidRPr="00894BB3">
        <w:rPr>
          <w:rFonts w:eastAsia="Times New Roman" w:cs="Arial"/>
          <w:lang w:eastAsia="cs-CZ"/>
        </w:rPr>
        <w:t>Hodnocení ukončených grantových projektů</w:t>
      </w:r>
      <w:bookmarkEnd w:id="83"/>
      <w:bookmarkEnd w:id="84"/>
      <w:bookmarkEnd w:id="85"/>
    </w:p>
    <w:p w:rsidR="00786F0D" w:rsidRPr="00D06063" w:rsidRDefault="00216728" w:rsidP="00535636">
      <w:pPr>
        <w:spacing w:after="0"/>
        <w:rPr>
          <w:lang w:eastAsia="cs-CZ"/>
        </w:rPr>
      </w:pPr>
      <w:r w:rsidRPr="00D06063">
        <w:rPr>
          <w:lang w:eastAsia="cs-CZ"/>
        </w:rPr>
        <w:t xml:space="preserve">Do hodnocení ukončených grantových projektů byly zařazeny takové projekty, u nichž řešitelé předložili závěrečné zprávy nejpozději k 31. lednu 2018. </w:t>
      </w:r>
    </w:p>
    <w:p w:rsidR="00786F0D" w:rsidRPr="00D06063" w:rsidRDefault="00786F0D" w:rsidP="00786F0D">
      <w:pPr>
        <w:spacing w:after="0" w:line="271" w:lineRule="auto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7E7AE1">
      <w:pPr>
        <w:pStyle w:val="Titulek"/>
        <w:rPr>
          <w:rFonts w:eastAsia="Times New Roman" w:cs="Arial"/>
          <w:b w:val="0"/>
          <w:iCs w:val="0"/>
          <w:color w:val="44546A"/>
          <w:lang w:eastAsia="cs-CZ"/>
        </w:rPr>
      </w:pPr>
      <w:bookmarkStart w:id="86" w:name="_Toc256000033"/>
      <w:bookmarkStart w:id="87" w:name="_Toc10036281"/>
      <w:r w:rsidRPr="00D06063">
        <w:rPr>
          <w:rFonts w:cs="Arial"/>
        </w:rPr>
        <w:t xml:space="preserve">Graf </w:t>
      </w:r>
      <w:r w:rsidRPr="00D06063">
        <w:rPr>
          <w:rFonts w:cs="Arial"/>
        </w:rPr>
        <w:fldChar w:fldCharType="begin"/>
      </w:r>
      <w:r w:rsidRPr="00D06063">
        <w:rPr>
          <w:rFonts w:cs="Arial"/>
        </w:rPr>
        <w:instrText xml:space="preserve"> SEQ Graf \* ARABIC </w:instrText>
      </w:r>
      <w:r w:rsidRPr="00D06063">
        <w:rPr>
          <w:rFonts w:cs="Arial"/>
        </w:rPr>
        <w:fldChar w:fldCharType="separate"/>
      </w:r>
      <w:r w:rsidRPr="00D06063">
        <w:rPr>
          <w:rFonts w:cs="Arial"/>
        </w:rPr>
        <w:t>19</w:t>
      </w:r>
      <w:r w:rsidRPr="00D06063">
        <w:rPr>
          <w:rFonts w:cs="Arial"/>
        </w:rPr>
        <w:fldChar w:fldCharType="end"/>
      </w:r>
      <w:r w:rsidRPr="00D06063">
        <w:rPr>
          <w:rFonts w:cs="Arial"/>
        </w:rPr>
        <w:t xml:space="preserve"> </w:t>
      </w:r>
      <w:r w:rsidR="00B70530">
        <w:rPr>
          <w:rFonts w:cs="Arial"/>
        </w:rPr>
        <w:t xml:space="preserve">– </w:t>
      </w:r>
      <w:r w:rsidRPr="00D06063">
        <w:rPr>
          <w:rFonts w:cs="Arial"/>
        </w:rPr>
        <w:t>Struktura celkového hodnocení ukončených juniorských projektů</w:t>
      </w:r>
      <w:bookmarkEnd w:id="86"/>
      <w:bookmarkEnd w:id="87"/>
    </w:p>
    <w:p w:rsidR="00786F0D" w:rsidRPr="00D06063" w:rsidRDefault="00216728" w:rsidP="00474693">
      <w:pPr>
        <w:spacing w:after="0" w:line="271" w:lineRule="auto"/>
        <w:rPr>
          <w:rFonts w:eastAsia="Times New Roman" w:cs="Arial"/>
          <w:b/>
          <w:iCs/>
          <w:color w:val="44546A"/>
          <w:szCs w:val="18"/>
          <w:lang w:eastAsia="cs-CZ"/>
        </w:rPr>
      </w:pPr>
      <w:r>
        <w:rPr>
          <w:rFonts w:eastAsia="Times New Roman" w:cs="Arial"/>
          <w:b/>
          <w:iCs/>
          <w:noProof/>
          <w:color w:val="44546A"/>
          <w:szCs w:val="18"/>
          <w:lang w:eastAsia="cs-CZ"/>
        </w:rPr>
        <w:drawing>
          <wp:inline distT="0" distB="0" distL="0" distR="0">
            <wp:extent cx="4572635" cy="2743200"/>
            <wp:effectExtent l="0" t="0" r="0" b="0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147640" name="Picture 2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F0D" w:rsidRPr="00D06063" w:rsidRDefault="00216728" w:rsidP="00474693">
      <w:pPr>
        <w:pStyle w:val="podobr"/>
        <w:spacing w:before="60"/>
        <w:rPr>
          <w:rFonts w:cs="Arial"/>
        </w:rPr>
      </w:pPr>
      <w:r w:rsidRPr="00D06063">
        <w:rPr>
          <w:rFonts w:cs="Arial"/>
        </w:rPr>
        <w:t xml:space="preserve">Zdroj: </w:t>
      </w:r>
      <w:r w:rsidRPr="00D06063">
        <w:rPr>
          <w:rFonts w:cs="Arial"/>
        </w:rPr>
        <w:t>GA ČR</w:t>
      </w:r>
    </w:p>
    <w:p w:rsidR="00786F0D" w:rsidRPr="00D06063" w:rsidRDefault="00786F0D" w:rsidP="00474693">
      <w:pPr>
        <w:spacing w:line="271" w:lineRule="auto"/>
        <w:rPr>
          <w:rFonts w:eastAsia="Times New Roman" w:cs="Arial"/>
          <w:szCs w:val="24"/>
          <w:lang w:eastAsia="cs-CZ"/>
        </w:rPr>
      </w:pPr>
    </w:p>
    <w:p w:rsidR="00786F0D" w:rsidRPr="00D06063" w:rsidRDefault="00216728" w:rsidP="007E7AE1">
      <w:pPr>
        <w:pStyle w:val="Titulek"/>
        <w:rPr>
          <w:rFonts w:eastAsia="Times New Roman" w:cs="Arial"/>
          <w:b w:val="0"/>
          <w:iCs w:val="0"/>
          <w:color w:val="44546A"/>
          <w:lang w:eastAsia="cs-CZ"/>
        </w:rPr>
      </w:pPr>
      <w:bookmarkStart w:id="88" w:name="_Toc256000034"/>
      <w:bookmarkStart w:id="89" w:name="_Toc10036282"/>
      <w:r w:rsidRPr="00D06063">
        <w:rPr>
          <w:rFonts w:cs="Arial"/>
        </w:rPr>
        <w:t xml:space="preserve">Graf </w:t>
      </w:r>
      <w:r w:rsidRPr="00D06063">
        <w:rPr>
          <w:rFonts w:cs="Arial"/>
        </w:rPr>
        <w:fldChar w:fldCharType="begin"/>
      </w:r>
      <w:r w:rsidRPr="00D06063">
        <w:rPr>
          <w:rFonts w:cs="Arial"/>
        </w:rPr>
        <w:instrText xml:space="preserve"> SEQ Graf \* ARABIC </w:instrText>
      </w:r>
      <w:r w:rsidRPr="00D06063">
        <w:rPr>
          <w:rFonts w:cs="Arial"/>
        </w:rPr>
        <w:fldChar w:fldCharType="separate"/>
      </w:r>
      <w:r w:rsidRPr="00D06063">
        <w:rPr>
          <w:rFonts w:cs="Arial"/>
        </w:rPr>
        <w:t>20</w:t>
      </w:r>
      <w:r w:rsidRPr="00D06063">
        <w:rPr>
          <w:rFonts w:cs="Arial"/>
        </w:rPr>
        <w:fldChar w:fldCharType="end"/>
      </w:r>
      <w:r w:rsidRPr="00D06063">
        <w:rPr>
          <w:rFonts w:cs="Arial"/>
        </w:rPr>
        <w:t xml:space="preserve"> </w:t>
      </w:r>
      <w:r w:rsidR="00B70530">
        <w:rPr>
          <w:rFonts w:cs="Arial"/>
        </w:rPr>
        <w:t xml:space="preserve">– </w:t>
      </w:r>
      <w:r w:rsidRPr="00D06063">
        <w:rPr>
          <w:rFonts w:cs="Arial"/>
        </w:rPr>
        <w:t>Hodnocení ukončených juniorských projektů podle oborových komisí</w:t>
      </w:r>
      <w:bookmarkEnd w:id="88"/>
      <w:bookmarkEnd w:id="89"/>
    </w:p>
    <w:p w:rsidR="00786F0D" w:rsidRPr="00D06063" w:rsidRDefault="00216728" w:rsidP="00474693">
      <w:pPr>
        <w:spacing w:before="60" w:after="0" w:line="271" w:lineRule="auto"/>
        <w:rPr>
          <w:rStyle w:val="podobrChar"/>
          <w:rFonts w:eastAsiaTheme="minorHAnsi" w:cs="Arial"/>
          <w:b/>
          <w:iCs/>
        </w:rPr>
      </w:pPr>
      <w:r>
        <w:rPr>
          <w:rStyle w:val="podobrChar"/>
          <w:rFonts w:eastAsiaTheme="minorHAnsi" w:cs="Arial"/>
          <w:noProof/>
        </w:rPr>
        <w:drawing>
          <wp:inline distT="0" distB="0" distL="0" distR="0">
            <wp:extent cx="5761355" cy="3548380"/>
            <wp:effectExtent l="0" t="0" r="0" b="0"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726120" name="Picture 2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354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06063">
        <w:rPr>
          <w:rStyle w:val="podobrChar"/>
          <w:rFonts w:eastAsiaTheme="minorHAnsi" w:cs="Arial"/>
        </w:rPr>
        <w:t>Zdroj: GA ČR</w:t>
      </w:r>
    </w:p>
    <w:p w:rsidR="000F3489" w:rsidRPr="00D06063" w:rsidRDefault="00216728">
      <w:pPr>
        <w:jc w:val="left"/>
        <w:rPr>
          <w:rFonts w:eastAsia="Times New Roman" w:cs="Arial"/>
          <w:b/>
          <w:iCs/>
          <w:color w:val="44546A"/>
          <w:szCs w:val="18"/>
          <w:lang w:eastAsia="cs-CZ"/>
        </w:rPr>
      </w:pPr>
      <w:r w:rsidRPr="00D06063">
        <w:rPr>
          <w:rFonts w:eastAsia="Times New Roman" w:cs="Arial"/>
          <w:b/>
          <w:iCs/>
          <w:color w:val="44546A"/>
          <w:szCs w:val="18"/>
          <w:lang w:eastAsia="cs-CZ"/>
        </w:rPr>
        <w:br w:type="page"/>
      </w:r>
    </w:p>
    <w:p w:rsidR="00D54156" w:rsidRPr="00D06063" w:rsidRDefault="00216728">
      <w:pPr>
        <w:pStyle w:val="Nadpis1"/>
        <w:numPr>
          <w:ilvl w:val="0"/>
          <w:numId w:val="8"/>
        </w:numPr>
        <w:rPr>
          <w:rFonts w:eastAsia="Times New Roman" w:cs="Arial"/>
          <w:lang w:eastAsia="cs-CZ"/>
        </w:rPr>
      </w:pPr>
      <w:bookmarkStart w:id="90" w:name="_Toc256000010"/>
      <w:bookmarkStart w:id="91" w:name="_Toc14183929"/>
      <w:r w:rsidRPr="00D06063">
        <w:rPr>
          <w:rFonts w:eastAsia="Times New Roman" w:cs="Arial"/>
          <w:lang w:eastAsia="cs-CZ"/>
        </w:rPr>
        <w:t>Bibliometrická analýza grantových projektů Juniorské granty za období 2014</w:t>
      </w:r>
      <w:r w:rsidR="00B70530">
        <w:rPr>
          <w:rFonts w:eastAsia="Times New Roman" w:cs="Arial"/>
          <w:lang w:eastAsia="cs-CZ"/>
        </w:rPr>
        <w:t>–</w:t>
      </w:r>
      <w:r w:rsidRPr="00D06063">
        <w:rPr>
          <w:rFonts w:eastAsia="Times New Roman" w:cs="Arial"/>
          <w:lang w:eastAsia="cs-CZ"/>
        </w:rPr>
        <w:t>2017</w:t>
      </w:r>
      <w:bookmarkEnd w:id="90"/>
      <w:bookmarkEnd w:id="91"/>
    </w:p>
    <w:p w:rsidR="00D54156" w:rsidRPr="00894BB3" w:rsidRDefault="00216728" w:rsidP="00894BB3">
      <w:pPr>
        <w:rPr>
          <w:sz w:val="13"/>
          <w:szCs w:val="13"/>
        </w:rPr>
      </w:pPr>
      <w:r w:rsidRPr="00D06063">
        <w:t>Analýza vychází z dat RIV a CEP [ISVaV] a Web of Scienc</w:t>
      </w:r>
      <w:r w:rsidRPr="00D06063">
        <w:t>e – Journal Citation Report [JCR]. Omezuje se na články v odborných časopisech (druh J v RIV), které byly publikovány v letech 2014</w:t>
      </w:r>
      <w:r w:rsidR="00D04A0D">
        <w:t>–</w:t>
      </w:r>
      <w:r w:rsidRPr="00D06063">
        <w:t>2017 a mají v RIV uveden kód UT WoS.</w:t>
      </w:r>
      <w:r>
        <w:rPr>
          <w:rStyle w:val="Znakapoznpodarou"/>
          <w:rFonts w:cs="Arial"/>
        </w:rPr>
        <w:footnoteReference w:id="2"/>
      </w:r>
    </w:p>
    <w:p w:rsidR="00D54156" w:rsidRPr="00D06063" w:rsidRDefault="00216728" w:rsidP="00894BB3">
      <w:r w:rsidRPr="00D06063">
        <w:t xml:space="preserve">Každý článek se započítává vahou svého modifikovaného autorského podílu definovaného </w:t>
      </w:r>
      <w:r w:rsidRPr="00D06063">
        <w:t>podle [Met13]</w:t>
      </w:r>
      <w:r>
        <w:rPr>
          <w:rStyle w:val="Znakapoznpodarou"/>
          <w:rFonts w:cs="Arial"/>
        </w:rPr>
        <w:footnoteReference w:id="3"/>
      </w:r>
      <w:r w:rsidRPr="00D06063">
        <w:t xml:space="preserve">. Součty těchto vah jsou v dalším označovány jako </w:t>
      </w:r>
      <w:r w:rsidRPr="00D06063">
        <w:rPr>
          <w:i/>
          <w:iCs/>
        </w:rPr>
        <w:t>přepočtené počty článků</w:t>
      </w:r>
      <w:r w:rsidRPr="00D06063">
        <w:t xml:space="preserve">. </w:t>
      </w:r>
    </w:p>
    <w:p w:rsidR="007B40A2" w:rsidRPr="00D06063" w:rsidRDefault="00216728" w:rsidP="007B40A2">
      <w:pPr>
        <w:pStyle w:val="Titulek"/>
        <w:rPr>
          <w:rFonts w:cs="Arial"/>
        </w:rPr>
      </w:pPr>
      <w:bookmarkStart w:id="92" w:name="_Toc256000035"/>
      <w:bookmarkStart w:id="93" w:name="_Toc10036283"/>
      <w:r w:rsidRPr="00D06063">
        <w:rPr>
          <w:rFonts w:cs="Arial"/>
        </w:rPr>
        <w:t xml:space="preserve">Graf </w:t>
      </w:r>
      <w:r w:rsidRPr="00D06063">
        <w:rPr>
          <w:rFonts w:cs="Arial"/>
        </w:rPr>
        <w:fldChar w:fldCharType="begin"/>
      </w:r>
      <w:r w:rsidRPr="00D06063">
        <w:rPr>
          <w:rFonts w:cs="Arial"/>
        </w:rPr>
        <w:instrText xml:space="preserve"> SEQ Graf \* ARABIC </w:instrText>
      </w:r>
      <w:r w:rsidRPr="00D06063">
        <w:rPr>
          <w:rFonts w:cs="Arial"/>
        </w:rPr>
        <w:fldChar w:fldCharType="separate"/>
      </w:r>
      <w:r w:rsidRPr="00D06063">
        <w:rPr>
          <w:rFonts w:cs="Arial"/>
        </w:rPr>
        <w:t>21</w:t>
      </w:r>
      <w:r w:rsidRPr="00D06063">
        <w:rPr>
          <w:rFonts w:cs="Arial"/>
        </w:rPr>
        <w:fldChar w:fldCharType="end"/>
      </w:r>
      <w:r w:rsidRPr="00D06063">
        <w:rPr>
          <w:rFonts w:cs="Arial"/>
        </w:rPr>
        <w:t xml:space="preserve"> </w:t>
      </w:r>
      <w:r w:rsidR="00EB1A45">
        <w:rPr>
          <w:rFonts w:cs="Arial"/>
        </w:rPr>
        <w:t xml:space="preserve">– </w:t>
      </w:r>
      <w:r w:rsidRPr="00D06063">
        <w:rPr>
          <w:rFonts w:cs="Arial"/>
        </w:rPr>
        <w:t>Podíl impaktovaných článků: přepočtený počet článků v impaktovaném časopise</w:t>
      </w:r>
      <w:r>
        <w:rPr>
          <w:rStyle w:val="Znakapoznpodarou"/>
          <w:rFonts w:cs="Arial"/>
        </w:rPr>
        <w:footnoteReference w:id="4"/>
      </w:r>
      <w:r w:rsidRPr="00D06063">
        <w:rPr>
          <w:rFonts w:cs="Arial"/>
        </w:rPr>
        <w:t xml:space="preserve"> </w:t>
      </w:r>
      <w:r w:rsidR="001A1D6F">
        <w:rPr>
          <w:rFonts w:cs="Arial"/>
        </w:rPr>
        <w:t>v poměru k</w:t>
      </w:r>
      <w:r w:rsidRPr="00D06063">
        <w:rPr>
          <w:rFonts w:cs="Arial"/>
        </w:rPr>
        <w:t xml:space="preserve"> přepočtenému počtu článků v odborném periodik</w:t>
      </w:r>
      <w:r w:rsidRPr="00D06063">
        <w:rPr>
          <w:rFonts w:cs="Arial"/>
        </w:rPr>
        <w:t>u</w:t>
      </w:r>
      <w:bookmarkEnd w:id="92"/>
      <w:r>
        <w:rPr>
          <w:rStyle w:val="Znakapoznpodarou"/>
          <w:rFonts w:cs="Arial"/>
        </w:rPr>
        <w:footnoteReference w:id="5"/>
      </w:r>
      <w:bookmarkEnd w:id="93"/>
    </w:p>
    <w:p w:rsidR="007F05B8" w:rsidRPr="00D06063" w:rsidRDefault="00216728" w:rsidP="00310723">
      <w:pPr>
        <w:rPr>
          <w:rFonts w:cs="Arial"/>
        </w:rPr>
      </w:pPr>
      <w:r w:rsidRPr="00D06063">
        <w:rPr>
          <w:rFonts w:cs="Arial"/>
          <w:noProof/>
          <w:lang w:eastAsia="cs-CZ"/>
        </w:rPr>
        <w:drawing>
          <wp:inline distT="0" distB="0" distL="0" distR="0">
            <wp:extent cx="5072400" cy="461160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737805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400" cy="46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4156" w:rsidRPr="00894BB3" w:rsidRDefault="00216728" w:rsidP="00894BB3">
      <w:r w:rsidRPr="00894BB3">
        <w:t>Ve všech grafech je uváděn počet článků (nedělený), které se v daném grafu započítávaly, jako hodnota “N”. Obdobně se tato hodnota uvádí i pro každý sloupec grafu.  Výstupy založené na méně než 50 článcích sice uvádíme, ale nelze je považovat za dosta</w:t>
      </w:r>
      <w:r w:rsidRPr="00894BB3">
        <w:t xml:space="preserve">tečně spolehlivé. Pro větší přehlednost nejsou tyto hodnoty v grafech vybarveny. Obecně je s hodnocením skupin grantových projektů třeba počkat, dokud nedoběhne dostatečné množství jejich projektů a není publikováno dostatečné množství výsledků. </w:t>
      </w:r>
    </w:p>
    <w:p w:rsidR="00D54156" w:rsidRPr="00D06063" w:rsidRDefault="00216728" w:rsidP="00894BB3">
      <w:r w:rsidRPr="00D06063">
        <w:t>V grafech</w:t>
      </w:r>
      <w:r w:rsidRPr="00D06063">
        <w:t xml:space="preserve"> jsou rovněž zachyceny dvě referenční hodnoty: za celou Českou republiku (plnou čarou) a za GA ČR jako celek (čárkovanou čarou). U grafů srovnávajících navzájem skupiny grantových projektů nebo oborové skupiny je šířka sloupců úměrná počtu článků v dané ka</w:t>
      </w:r>
      <w:r w:rsidRPr="00D06063">
        <w:t>tegorii. Mimo zobrazení deseti skupin časopisů podle impaktního faktoru jsou prázdné sloupce vynechávány.</w:t>
      </w:r>
    </w:p>
    <w:p w:rsidR="00D54156" w:rsidRPr="00D06063" w:rsidRDefault="00216728" w:rsidP="00474693">
      <w:pPr>
        <w:spacing w:after="0"/>
      </w:pPr>
      <w:r w:rsidRPr="00D06063">
        <w:t xml:space="preserve">Při interpretaci výsledků je rovněž třeba vzít v úvahu různou citační praxi v různých oborech </w:t>
      </w:r>
      <w:r w:rsidR="00FF2D5F" w:rsidRPr="00D06063">
        <w:t>a</w:t>
      </w:r>
      <w:r w:rsidR="00FF2D5F">
        <w:t> </w:t>
      </w:r>
      <w:r w:rsidRPr="00D06063">
        <w:t>rovněž rozdílnou míru oborového pokrytí databáze JCR.</w:t>
      </w:r>
    </w:p>
    <w:p w:rsidR="00D54156" w:rsidRPr="00D06063" w:rsidRDefault="00D54156" w:rsidP="00D5415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244061" w:themeColor="accent1" w:themeShade="80"/>
        </w:rPr>
      </w:pPr>
    </w:p>
    <w:p w:rsidR="00D54156" w:rsidRPr="00D06063" w:rsidRDefault="00216728" w:rsidP="007E7AE1">
      <w:pPr>
        <w:pStyle w:val="Titulek"/>
        <w:rPr>
          <w:rFonts w:cs="Arial"/>
          <w:b w:val="0"/>
          <w:bCs/>
        </w:rPr>
      </w:pPr>
      <w:bookmarkStart w:id="94" w:name="_Toc256000036"/>
      <w:bookmarkStart w:id="95" w:name="_Toc10036284"/>
      <w:r w:rsidRPr="00D06063">
        <w:rPr>
          <w:rFonts w:cs="Arial"/>
        </w:rPr>
        <w:t xml:space="preserve">Graf </w:t>
      </w:r>
      <w:r w:rsidRPr="00D06063">
        <w:rPr>
          <w:rFonts w:cs="Arial"/>
        </w:rPr>
        <w:fldChar w:fldCharType="begin"/>
      </w:r>
      <w:r w:rsidRPr="00D06063">
        <w:rPr>
          <w:rFonts w:cs="Arial"/>
        </w:rPr>
        <w:instrText xml:space="preserve"> SEQ Graf \* ARABIC </w:instrText>
      </w:r>
      <w:r w:rsidRPr="00D06063">
        <w:rPr>
          <w:rFonts w:cs="Arial"/>
        </w:rPr>
        <w:fldChar w:fldCharType="separate"/>
      </w:r>
      <w:r w:rsidRPr="00D06063">
        <w:rPr>
          <w:rFonts w:cs="Arial"/>
        </w:rPr>
        <w:t>22</w:t>
      </w:r>
      <w:r w:rsidRPr="00D06063">
        <w:rPr>
          <w:rFonts w:cs="Arial"/>
        </w:rPr>
        <w:fldChar w:fldCharType="end"/>
      </w:r>
      <w:r w:rsidRPr="00D06063">
        <w:rPr>
          <w:rFonts w:cs="Arial"/>
        </w:rPr>
        <w:t xml:space="preserve"> </w:t>
      </w:r>
      <w:r w:rsidR="00FF2D5F">
        <w:rPr>
          <w:rFonts w:cs="Arial"/>
        </w:rPr>
        <w:t xml:space="preserve">– </w:t>
      </w:r>
      <w:r w:rsidRPr="00D06063">
        <w:rPr>
          <w:rFonts w:cs="Arial"/>
        </w:rPr>
        <w:t>Podíl impaktovaných článků z lepší poloviny časopisů: přepočtený počet článků v impaktovaném časopise s impaktním faktorem nad mediánem oborové kategorie časopisu</w:t>
      </w:r>
      <w:r>
        <w:rPr>
          <w:rStyle w:val="Znakapoznpodarou"/>
          <w:rFonts w:cs="Arial"/>
        </w:rPr>
        <w:footnoteReference w:id="6"/>
      </w:r>
      <w:r w:rsidRPr="00D06063">
        <w:rPr>
          <w:rFonts w:cs="Arial"/>
        </w:rPr>
        <w:t xml:space="preserve"> </w:t>
      </w:r>
      <w:r w:rsidR="001A1D6F">
        <w:rPr>
          <w:rFonts w:cs="Arial"/>
        </w:rPr>
        <w:t xml:space="preserve">v poměru k </w:t>
      </w:r>
      <w:r w:rsidRPr="00D06063">
        <w:rPr>
          <w:rFonts w:cs="Arial"/>
        </w:rPr>
        <w:t>přepočtenému počtu článků v impaktovaném časopi</w:t>
      </w:r>
      <w:r w:rsidRPr="00D06063">
        <w:rPr>
          <w:rFonts w:cs="Arial"/>
        </w:rPr>
        <w:t>se</w:t>
      </w:r>
      <w:bookmarkEnd w:id="94"/>
      <w:bookmarkEnd w:id="95"/>
    </w:p>
    <w:p w:rsidR="00D54156" w:rsidRPr="00D06063" w:rsidRDefault="00216728" w:rsidP="00310723">
      <w:pPr>
        <w:rPr>
          <w:rFonts w:cs="Arial"/>
        </w:rPr>
      </w:pPr>
      <w:r w:rsidRPr="00D06063">
        <w:rPr>
          <w:rFonts w:cs="Arial"/>
          <w:noProof/>
          <w:lang w:eastAsia="cs-CZ"/>
        </w:rPr>
        <w:drawing>
          <wp:inline distT="0" distB="0" distL="0" distR="0">
            <wp:extent cx="5036400" cy="4611600"/>
            <wp:effectExtent l="0" t="0" r="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746695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400" cy="46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4156" w:rsidRDefault="00D54156" w:rsidP="00D5415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244061" w:themeColor="accent1" w:themeShade="80"/>
        </w:rPr>
      </w:pPr>
    </w:p>
    <w:p w:rsidR="00894BB3" w:rsidRDefault="00894BB3" w:rsidP="00D5415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244061" w:themeColor="accent1" w:themeShade="80"/>
        </w:rPr>
      </w:pPr>
    </w:p>
    <w:p w:rsidR="00894BB3" w:rsidRDefault="00894BB3" w:rsidP="00D5415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244061" w:themeColor="accent1" w:themeShade="80"/>
        </w:rPr>
      </w:pPr>
    </w:p>
    <w:p w:rsidR="00894BB3" w:rsidRPr="00D06063" w:rsidRDefault="00894BB3" w:rsidP="00D5415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244061" w:themeColor="accent1" w:themeShade="80"/>
        </w:rPr>
      </w:pPr>
    </w:p>
    <w:p w:rsidR="007E7AE1" w:rsidRPr="00D06063" w:rsidRDefault="00216728" w:rsidP="00474693">
      <w:pPr>
        <w:pStyle w:val="Titulek"/>
        <w:keepNext/>
        <w:keepLines/>
        <w:spacing w:after="0"/>
        <w:rPr>
          <w:rFonts w:cs="Arial"/>
        </w:rPr>
      </w:pPr>
      <w:bookmarkStart w:id="96" w:name="_Toc256000037"/>
      <w:bookmarkStart w:id="97" w:name="_Toc10036285"/>
      <w:r w:rsidRPr="00D06063">
        <w:rPr>
          <w:rFonts w:cs="Arial"/>
        </w:rPr>
        <w:t xml:space="preserve">Graf </w:t>
      </w:r>
      <w:r w:rsidRPr="00D06063">
        <w:rPr>
          <w:rFonts w:cs="Arial"/>
        </w:rPr>
        <w:fldChar w:fldCharType="begin"/>
      </w:r>
      <w:r w:rsidRPr="00D06063">
        <w:rPr>
          <w:rFonts w:cs="Arial"/>
        </w:rPr>
        <w:instrText xml:space="preserve"> SEQ Graf \* ARABIC </w:instrText>
      </w:r>
      <w:r w:rsidRPr="00D06063">
        <w:rPr>
          <w:rFonts w:cs="Arial"/>
        </w:rPr>
        <w:fldChar w:fldCharType="separate"/>
      </w:r>
      <w:r w:rsidRPr="00D06063">
        <w:rPr>
          <w:rFonts w:cs="Arial"/>
        </w:rPr>
        <w:t>23</w:t>
      </w:r>
      <w:r w:rsidRPr="00D06063">
        <w:rPr>
          <w:rFonts w:cs="Arial"/>
        </w:rPr>
        <w:fldChar w:fldCharType="end"/>
      </w:r>
      <w:r w:rsidRPr="00D06063">
        <w:rPr>
          <w:rFonts w:cs="Arial"/>
        </w:rPr>
        <w:t xml:space="preserve"> </w:t>
      </w:r>
      <w:r w:rsidR="00FF2D5F">
        <w:rPr>
          <w:rFonts w:cs="Arial"/>
        </w:rPr>
        <w:t xml:space="preserve">– </w:t>
      </w:r>
      <w:r w:rsidRPr="00D06063">
        <w:rPr>
          <w:rFonts w:cs="Arial"/>
        </w:rPr>
        <w:t xml:space="preserve">Podíl impaktovaných článků z nejlepší desetiny časopisů: přepočtený počet článků v impaktovaném časopise s impaktním faktorem nad devátým decilem impaktních faktorů časopisů v oborové kategorii </w:t>
      </w:r>
      <w:r w:rsidR="001A1D6F">
        <w:rPr>
          <w:rFonts w:cs="Arial"/>
        </w:rPr>
        <w:t>v poměru k</w:t>
      </w:r>
      <w:r w:rsidRPr="00D06063">
        <w:rPr>
          <w:rFonts w:cs="Arial"/>
        </w:rPr>
        <w:t xml:space="preserve"> přepočtenému počtu článků </w:t>
      </w:r>
      <w:r w:rsidR="00FF2D5F" w:rsidRPr="00D06063">
        <w:rPr>
          <w:rFonts w:cs="Arial"/>
        </w:rPr>
        <w:t>v</w:t>
      </w:r>
      <w:r w:rsidR="00FF2D5F">
        <w:rPr>
          <w:rFonts w:cs="Arial"/>
        </w:rPr>
        <w:t> </w:t>
      </w:r>
      <w:r w:rsidRPr="00D06063">
        <w:rPr>
          <w:rFonts w:cs="Arial"/>
        </w:rPr>
        <w:t>impaktovaném časopise</w:t>
      </w:r>
      <w:bookmarkEnd w:id="96"/>
      <w:bookmarkEnd w:id="97"/>
    </w:p>
    <w:p w:rsidR="00D54156" w:rsidRPr="00D06063" w:rsidRDefault="00D54156" w:rsidP="00474693">
      <w:pPr>
        <w:keepNext/>
        <w:keepLines/>
        <w:spacing w:after="0"/>
        <w:rPr>
          <w:rFonts w:cs="Arial"/>
          <w:noProof/>
        </w:rPr>
      </w:pPr>
    </w:p>
    <w:p w:rsidR="00D54156" w:rsidRPr="00D06063" w:rsidRDefault="00216728" w:rsidP="00474693">
      <w:pPr>
        <w:keepNext/>
        <w:keepLines/>
        <w:rPr>
          <w:rFonts w:cs="Arial"/>
        </w:rPr>
      </w:pPr>
      <w:r w:rsidRPr="00D06063">
        <w:rPr>
          <w:rFonts w:cs="Arial"/>
          <w:noProof/>
          <w:lang w:eastAsia="cs-CZ"/>
        </w:rPr>
        <w:drawing>
          <wp:inline distT="0" distB="0" distL="0" distR="0">
            <wp:extent cx="5000400" cy="4611600"/>
            <wp:effectExtent l="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047154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400" cy="461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4BB3" w:rsidRDefault="00216728" w:rsidP="00474693">
      <w:pPr>
        <w:keepNext/>
        <w:keepLines/>
        <w:jc w:val="left"/>
        <w:rPr>
          <w:rFonts w:eastAsiaTheme="majorEastAsia" w:cs="Arial"/>
          <w:b/>
          <w:color w:val="365F91" w:themeColor="accent1" w:themeShade="BF"/>
          <w:sz w:val="28"/>
          <w:szCs w:val="32"/>
        </w:rPr>
      </w:pPr>
      <w:r>
        <w:rPr>
          <w:rFonts w:cs="Arial"/>
        </w:rPr>
        <w:br w:type="page"/>
      </w:r>
    </w:p>
    <w:p w:rsidR="00ED0C90" w:rsidRDefault="00216728">
      <w:pPr>
        <w:pStyle w:val="Nadpis1"/>
        <w:numPr>
          <w:ilvl w:val="0"/>
          <w:numId w:val="8"/>
        </w:numPr>
        <w:rPr>
          <w:rFonts w:cs="Arial"/>
        </w:rPr>
      </w:pPr>
      <w:bookmarkStart w:id="98" w:name="_Toc256000011"/>
      <w:bookmarkStart w:id="99" w:name="_Toc14183930"/>
      <w:bookmarkStart w:id="100" w:name="_Hlk14184481"/>
      <w:r>
        <w:rPr>
          <w:rFonts w:cs="Arial"/>
        </w:rPr>
        <w:t>Úspěšně řešené projekty</w:t>
      </w:r>
      <w:bookmarkEnd w:id="98"/>
      <w:bookmarkEnd w:id="99"/>
    </w:p>
    <w:p w:rsidR="00ED0C90" w:rsidRDefault="00216728" w:rsidP="00AA6B87">
      <w:pPr>
        <w:pStyle w:val="Nadpis2"/>
        <w:ind w:left="1418" w:hanging="284"/>
        <w:jc w:val="left"/>
      </w:pPr>
      <w:bookmarkStart w:id="101" w:name="_Toc256000012"/>
      <w:bookmarkStart w:id="102" w:name="_Toc14183931"/>
      <w:r>
        <w:t>5.1 Juniorské / postdoktorské projekty oceněné Cenou předsedkyně / předsedy GA ČR v letech 2015 - 2019</w:t>
      </w:r>
      <w:bookmarkEnd w:id="101"/>
      <w:bookmarkEnd w:id="102"/>
    </w:p>
    <w:p w:rsidR="00ED0C90" w:rsidRDefault="00ED0C90" w:rsidP="00ED0C90"/>
    <w:p w:rsidR="00D65C49" w:rsidRDefault="00216728" w:rsidP="00ED0C90">
      <w:pPr>
        <w:rPr>
          <w:b/>
        </w:rPr>
      </w:pPr>
      <w:r>
        <w:rPr>
          <w:b/>
        </w:rPr>
        <w:t>Rok udělení ceny:</w:t>
      </w:r>
      <w:r>
        <w:rPr>
          <w:b/>
        </w:rPr>
        <w:tab/>
      </w:r>
      <w:r w:rsidR="00BF3195">
        <w:rPr>
          <w:b/>
        </w:rPr>
        <w:t>2019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 xml:space="preserve">Reg.č.: </w:t>
      </w:r>
      <w:r w:rsidRPr="00AA6B87">
        <w:rPr>
          <w:b/>
        </w:rPr>
        <w:tab/>
      </w:r>
      <w:r w:rsidRPr="00AA6B87">
        <w:rPr>
          <w:b/>
        </w:rPr>
        <w:tab/>
        <w:t>16-13334Y</w:t>
      </w:r>
    </w:p>
    <w:p w:rsidR="00ED0C90" w:rsidRPr="00AA6B87" w:rsidRDefault="00216728" w:rsidP="00163307">
      <w:pPr>
        <w:ind w:left="2127" w:hanging="2127"/>
        <w:rPr>
          <w:b/>
        </w:rPr>
      </w:pPr>
      <w:r w:rsidRPr="00AA6B87">
        <w:rPr>
          <w:b/>
        </w:rPr>
        <w:t>Název:</w:t>
      </w:r>
      <w:r w:rsidRPr="00AA6B87">
        <w:rPr>
          <w:b/>
        </w:rPr>
        <w:tab/>
      </w:r>
      <w:r w:rsidRPr="00AA6B87">
        <w:rPr>
          <w:b/>
        </w:rPr>
        <w:t>Regulace signalizační dráhy B-buněčného receptoru (BCR) prostřednictvím microRNA</w:t>
      </w:r>
    </w:p>
    <w:p w:rsidR="00ED0C90" w:rsidRDefault="00216728" w:rsidP="00ED0C90">
      <w:r w:rsidRPr="00AA6B87">
        <w:rPr>
          <w:b/>
        </w:rPr>
        <w:t>Řešitel:</w:t>
      </w:r>
      <w:r>
        <w:tab/>
      </w:r>
      <w:r>
        <w:tab/>
        <w:t>doc. MUDr. Mgr. Marek Mráz, Ph.D.</w:t>
      </w:r>
      <w:r>
        <w:tab/>
      </w:r>
    </w:p>
    <w:p w:rsidR="00ED0C90" w:rsidRDefault="00216728" w:rsidP="00ED0C90">
      <w:r w:rsidRPr="00AA6B87">
        <w:rPr>
          <w:b/>
        </w:rPr>
        <w:t>Příjemce:</w:t>
      </w:r>
      <w:r>
        <w:tab/>
      </w:r>
      <w:r w:rsidR="00163307">
        <w:tab/>
      </w:r>
      <w:r>
        <w:t>Fakultní nemocnice Brno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>Abstrakt:</w:t>
      </w:r>
    </w:p>
    <w:p w:rsidR="00ED0C90" w:rsidRDefault="00216728" w:rsidP="00ED0C90">
      <w:r>
        <w:t>Předpokládáme, že microRNA (miRNA) by se mohly podílet na regulaci interakcí v</w:t>
      </w:r>
      <w:r w:rsidR="00BF3195">
        <w:t> </w:t>
      </w:r>
      <w:r>
        <w:t>mikrop</w:t>
      </w:r>
      <w:r>
        <w:t>rostředí a heterogenity v signalizaci přes B-buněčný receptor (BCR) u normálních a</w:t>
      </w:r>
      <w:r w:rsidR="00BF3195">
        <w:t> </w:t>
      </w:r>
      <w:r>
        <w:t>maligních B lymfocytů. Rádi bychom objasnili jak se specifické miRNA indukované po poškození DNA (miR-34a, miR-1246) podílejí na regulaci BCR signalizace a identifikovali je</w:t>
      </w:r>
      <w:r>
        <w:t>jich cílové geny a regulační dráhy. Naše předběžné údaje naznačují, že miR-34a je zodpovědná za inhibici BCR signalizace po poškození DNA a tvoří tak pojítko mezi p53 dependentní signalizací a zastavením pro-proliferačních signálů z BCR. Také předpokládáme</w:t>
      </w:r>
      <w:r>
        <w:t>, že interakce v mikroprostředí ovlivňují expresi miRNA (miR-150, miR-425, miR-185), které regulují BCR-asociované geny (GAB1, FOXP1, BTK) a tím modifikují aktivitu této dráhy, která je v kontextu mikroprostředí nezbytná. Provedeme studie za účelem identif</w:t>
      </w:r>
      <w:r>
        <w:t>ikace dalších miRNA, které se potenciálně účastní regulace BCR signalizačních drah s využitím experimentálních modelů B buněčné adheze a inhibice/aktivace BCR signalizace.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>Zdůvodnění expertního a poradního orgánu:</w:t>
      </w:r>
    </w:p>
    <w:p w:rsidR="00ED0C90" w:rsidRDefault="00216728" w:rsidP="00ED0C90">
      <w:r>
        <w:t>Projekt jednoznačně přinesl nové origináln</w:t>
      </w:r>
      <w:r>
        <w:t>í poznatky o roli miRNA-34a a miRNA-150 v</w:t>
      </w:r>
      <w:r w:rsidR="00BF3195">
        <w:t> </w:t>
      </w:r>
      <w:r>
        <w:t xml:space="preserve">omezení signalizace přes BCR v buňkách B-buněčných malignit během buněčné odpovědi na poškození DNA. Získané výsledky byly publikovány ve skutečně prestižních vědeckých časopisech. Výstupem je taktéž jeden patent, </w:t>
      </w:r>
      <w:r>
        <w:t>s potenciálem využití v klinické diagnostice. Vyzdvihl bych především velmi vysokou kvalitu publikací, kdy dvě práce byly publikovány v</w:t>
      </w:r>
      <w:r w:rsidR="00BF3195">
        <w:t> </w:t>
      </w:r>
      <w:r>
        <w:t>časopise Blood a po jedné pak v časopisech Leukemia a Oncotarget, což na tříletý juniorský projekt hodnotím jako zcela m</w:t>
      </w:r>
      <w:r>
        <w:t>imořádný a pozoruhodný výkon. Zde jen podotýkám, že u všech těchto publikací je navrhovatel projektu posledním (tj. seniorním a korespondujícím) autorem.</w:t>
      </w:r>
    </w:p>
    <w:p w:rsidR="00ED0C90" w:rsidRDefault="00ED0C90" w:rsidP="00ED0C90"/>
    <w:p w:rsidR="00BF3195" w:rsidRDefault="00216728" w:rsidP="00ED0C90">
      <w:pPr>
        <w:rPr>
          <w:b/>
        </w:rPr>
      </w:pPr>
      <w:r>
        <w:rPr>
          <w:b/>
        </w:rPr>
        <w:t>Rok udělení ceny:</w:t>
      </w:r>
      <w:r>
        <w:rPr>
          <w:b/>
        </w:rPr>
        <w:tab/>
        <w:t>2018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 xml:space="preserve">Reg.č.: </w:t>
      </w:r>
      <w:r w:rsidRPr="00AA6B87">
        <w:rPr>
          <w:b/>
        </w:rPr>
        <w:tab/>
      </w:r>
      <w:r w:rsidRPr="00AA6B87">
        <w:rPr>
          <w:b/>
        </w:rPr>
        <w:tab/>
        <w:t>15-00859Y</w:t>
      </w:r>
    </w:p>
    <w:p w:rsidR="00ED0C90" w:rsidRPr="00AA6B87" w:rsidRDefault="00216728" w:rsidP="00AA6B87">
      <w:pPr>
        <w:ind w:left="2127" w:hanging="2127"/>
        <w:rPr>
          <w:b/>
        </w:rPr>
      </w:pPr>
      <w:r w:rsidRPr="00AA6B87">
        <w:rPr>
          <w:b/>
        </w:rPr>
        <w:t>Název:</w:t>
      </w:r>
      <w:r w:rsidRPr="00AA6B87">
        <w:rPr>
          <w:b/>
        </w:rPr>
        <w:tab/>
        <w:t xml:space="preserve">Design nových funkčních materiálů, a cest pro </w:t>
      </w:r>
      <w:r w:rsidRPr="00AA6B87">
        <w:rPr>
          <w:b/>
        </w:rPr>
        <w:t>jejich přípravu atom po atomu, pomocí pokročilého počítačového modelování</w:t>
      </w:r>
    </w:p>
    <w:p w:rsidR="00ED0C90" w:rsidRDefault="00216728" w:rsidP="00ED0C90">
      <w:r w:rsidRPr="00AA6B87">
        <w:rPr>
          <w:b/>
        </w:rPr>
        <w:t>Řešitel:</w:t>
      </w:r>
      <w:r>
        <w:tab/>
      </w:r>
      <w:r>
        <w:tab/>
        <w:t>doc. Ing. Jiří Houška, Ph.D.</w:t>
      </w:r>
    </w:p>
    <w:p w:rsidR="00ED0C90" w:rsidRDefault="00216728" w:rsidP="00ED0C90">
      <w:r w:rsidRPr="00AA6B87">
        <w:rPr>
          <w:b/>
        </w:rPr>
        <w:t>Příjemce:</w:t>
      </w:r>
      <w:r>
        <w:tab/>
      </w:r>
      <w:r w:rsidR="00AA6B87">
        <w:tab/>
      </w:r>
      <w:r>
        <w:t>Západočeská univerzita v Plzni (Fakulta aplikovaných věd)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>Abstrakt:</w:t>
      </w:r>
    </w:p>
    <w:p w:rsidR="00ED0C90" w:rsidRDefault="00216728" w:rsidP="00ED0C90">
      <w:r>
        <w:t xml:space="preserve">Předmětem projektu je využití pokročilých počítačových simulací </w:t>
      </w:r>
      <w:r>
        <w:t xml:space="preserve">pro design (i) nových funkčních materiálů a (ii) cest pro jejich přípravu ve formě tenkých vrstev pomocí plazmatu. Bude využita řada simulačních technik, od modelování plazmatu přes reprodukci růstu vrstev pomocí klasické molekulární dynamiky po ab-initio </w:t>
      </w:r>
      <w:r>
        <w:t>výpočty struktur a vlastností materiálů. Studované materiály budou zahrnovat především multikomponentní nitridy ze systému (Hf/Zr)(Ta)(Si)BCN, a oxidy kovů (Zr, Hf nebo Ta). Simulace budou zaměřeny na vztahy mezi (i) prvkovým složením materiálů nebo toku č</w:t>
      </w:r>
      <w:r>
        <w:t>ástic ze kterých tenké vrstvy rostou, (ii) podmínkami přípravy vrstev, (iii) jejich (nano)strukturou a (iv) jejich vlastnostmi. Studované vlastnosti materiálů (v případě nanokompozitů také jednotlivých fází které je tvoří) budou zahrnovat nejen mechanické,</w:t>
      </w:r>
      <w:r>
        <w:t xml:space="preserve"> optické nebo elektrické vlastnosti, ale také jejich (meta)stabilitu. Důraz bude kladen na simulace užitečné pro podporu paralelně probíhajícího experimentálního výzkumu, a na experimentální ověřování získaných teoretických výsledků.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 xml:space="preserve">Zdůvodnění expertního </w:t>
      </w:r>
      <w:r w:rsidRPr="00AA6B87">
        <w:rPr>
          <w:b/>
        </w:rPr>
        <w:t>a poradního orgánu:</w:t>
      </w:r>
    </w:p>
    <w:p w:rsidR="00ED0C90" w:rsidRDefault="00216728" w:rsidP="00ED0C90">
      <w:r>
        <w:t>Výsledky řešení tohoto juniorského projektu plně naplňují záměry juniorských projektů definované v zadávací dokumentaci GA ČR. Řešitel projektu vybudoval stabilní výzkumný tým tvořený mladými odborníky, který na pracovišti řešitele vytv</w:t>
      </w:r>
      <w:r>
        <w:t>ořil znalostí zázemí pro aplikace počítačových simulací tenkých vrstev na atomární úrovni s cílem teoretické podpory experimentálních aktivit, které tvoří páteř odborných činností na pracovišti řešitele. Téma projektu bylo významně odlišné od běžících proj</w:t>
      </w:r>
      <w:r>
        <w:t>ektů na řešitelském pracovišti. Projekt umožnil věnovat pozornost problémům, které by jinak byly řešeny pouze okrajově a na nižší odborné úrovni. Přestože se jednalo o převážně teoretický projekt, uznané výstupy zahrnují i originální experimentální výsledk</w:t>
      </w:r>
      <w:r>
        <w:t>y. Výstupy projektu jsou dedikovány pouze tomuto projektu. Původní výsledky v oblasti metodologie výpočtů vytváří předpoklady pro další zvyšování výzkumného potenciálu Fakulty aplikovaných věd na ZČU v Plzni. Řešitelský tým přispěl ke zvyšování prestiže ře</w:t>
      </w:r>
      <w:r>
        <w:t>šitelského pracoviště prezentací výsledků projektu na významných mezinárodních konferencích v daném oboru (celkem 10 příspěvků, z toho 3 vyzvané přednášky). V rámci řešení projektu se řešitelský tým rovněž věnoval vzdělávací činnosti. Byl zaveden nový před</w:t>
      </w:r>
      <w:r>
        <w:t>mět („Modelování plazmatu a pevných látek“), byly vypracovány a úspěšně obhájeny dvě bakalářské práce, byly zahájeny další tři závěrečné práce.</w:t>
      </w:r>
    </w:p>
    <w:p w:rsidR="00ED0C90" w:rsidRDefault="00ED0C90" w:rsidP="00ED0C90"/>
    <w:p w:rsidR="00BF3195" w:rsidRDefault="00216728" w:rsidP="00ED0C90">
      <w:pPr>
        <w:rPr>
          <w:b/>
        </w:rPr>
      </w:pPr>
      <w:r>
        <w:rPr>
          <w:b/>
        </w:rPr>
        <w:t>Rok udělení ceny:</w:t>
      </w:r>
      <w:r>
        <w:rPr>
          <w:b/>
        </w:rPr>
        <w:tab/>
        <w:t>2018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>Reg.č.:</w:t>
      </w:r>
      <w:r w:rsidRPr="00AA6B87">
        <w:rPr>
          <w:b/>
        </w:rPr>
        <w:tab/>
      </w:r>
      <w:r w:rsidRPr="00AA6B87">
        <w:rPr>
          <w:b/>
        </w:rPr>
        <w:tab/>
        <w:t>15-10504Y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>Název:</w:t>
      </w:r>
      <w:r w:rsidRPr="00AA6B87">
        <w:rPr>
          <w:b/>
        </w:rPr>
        <w:tab/>
      </w:r>
      <w:r w:rsidRPr="00AA6B87">
        <w:rPr>
          <w:b/>
        </w:rPr>
        <w:tab/>
        <w:t>Příprava unikátních modulátorů adenylyl cyklázy</w:t>
      </w:r>
    </w:p>
    <w:p w:rsidR="00ED0C90" w:rsidRDefault="00216728" w:rsidP="00ED0C90">
      <w:r w:rsidRPr="00AA6B87">
        <w:rPr>
          <w:b/>
        </w:rPr>
        <w:t>Řešitel:</w:t>
      </w:r>
      <w:r>
        <w:tab/>
      </w:r>
      <w:r>
        <w:tab/>
        <w:t>Mgr</w:t>
      </w:r>
      <w:r>
        <w:t>. Jakub Švenda, Ph.D.</w:t>
      </w:r>
    </w:p>
    <w:p w:rsidR="00ED0C90" w:rsidRDefault="00216728" w:rsidP="00ED0C90">
      <w:r w:rsidRPr="00AA6B87">
        <w:rPr>
          <w:b/>
        </w:rPr>
        <w:t>Příjemce:</w:t>
      </w:r>
      <w:r>
        <w:tab/>
      </w:r>
      <w:r w:rsidR="00AA6B87">
        <w:tab/>
      </w:r>
      <w:r>
        <w:t>Masarykova univerzita (Přírodovědecká fakulta)</w:t>
      </w:r>
    </w:p>
    <w:p w:rsidR="00BF3195" w:rsidRDefault="00BF3195" w:rsidP="00ED0C90">
      <w:pPr>
        <w:rPr>
          <w:b/>
        </w:rPr>
      </w:pP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>Abstrakt:</w:t>
      </w:r>
    </w:p>
    <w:p w:rsidR="00ED0C90" w:rsidRDefault="00216728" w:rsidP="00ED0C90">
      <w:r>
        <w:t>Adenylyl cyklázy, enzymy které produkují cAMP, jsou součástí mnoha důležitých a</w:t>
      </w:r>
      <w:r w:rsidR="00BF3195">
        <w:t> </w:t>
      </w:r>
      <w:r>
        <w:t>rozmanitých aspektů lidské biologie, např. embryogeneze, srdeční funkce, nebo procesu</w:t>
      </w:r>
      <w:r>
        <w:t xml:space="preserve"> stárnutí. Předchozí experimenty ukázaly, že mnoho fyziologických efektů adenylyl cykláz je závislých na dané isoformě enzymu a zřejmě souvisí s patologií významných onemocnění. Tato pozorování iniciovala současnou snahu o přímé ovlivnění aktivity těchto e</w:t>
      </w:r>
      <w:r>
        <w:t>nzymů se značným potenciálem pro terapeutické využití. Zásadním problémem při validaci adenylyl cykláz pro farmakologické přístupy je nedostatek aktivních a selektivních modulátorů. V rámci tohoto projektu kombinujeme metody výpočetní chemie, chemické synt</w:t>
      </w:r>
      <w:r>
        <w:t>ézy a biologického testování v buňkách, s cílem vyvinout malé molekuly, které by byly schopné selektivně ovlivňovat tuto skupinu enzymů. Takto identifikované selektivní modulátory by umožnily významně posunout naše chápání funkcí adenylyl cykláz v základní</w:t>
      </w:r>
      <w:r>
        <w:t>ch buněčných procesech biomedicinálního významu.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>Zdůvodnění expertního a poradního orgánu:</w:t>
      </w:r>
    </w:p>
    <w:p w:rsidR="00ED0C90" w:rsidRDefault="00216728" w:rsidP="00ED0C90">
      <w:r>
        <w:t>Řešíteli se podařilo sestavit velmi kvalitní tým, který zvládl náročnou plánovanou syntézu přírodní látky forskolinu a knihovny jeho syntetických analog. Dále naváza</w:t>
      </w:r>
      <w:r>
        <w:t>l úspěšnou neformální spolupráci se skupinou z Biofyzikálního ústavu AV ČR, která přispěla k vývoji a</w:t>
      </w:r>
      <w:r w:rsidR="00BF3195">
        <w:t> </w:t>
      </w:r>
      <w:r>
        <w:t>aplikacím nové metody testování biologické aktivit u tohoto typu látek. Syntéza přírodních sloučenin je velmi potřebnou, ale neobyčejně obtížnou chemickou</w:t>
      </w:r>
      <w:r>
        <w:t xml:space="preserve"> disciplínou, která vyžaduje vysokou míru invence, zaujetí, houževnatosti a vytrvalosti. Přitom publikačních výsledků lze dosáhnout až po úspěšném dokončení celého mnohastupňového postupu a ověření vlastností látek v biologických testech. Proto se dostavuj</w:t>
      </w:r>
      <w:r>
        <w:t>í poměrně sporadicky. Řada mladých vědců tak volí raději témata, která vedou ke snáze dosažitelným cílům. Řešitelskému juniorskému týmu se podařilo dosáhnout celkové výborné kvality výsledků v celé šíři řešených úkolů, a to přes nespornou náročnost problem</w:t>
      </w:r>
      <w:r>
        <w:t>atiky. Výsledky byly publikovány v prestižním časopise Angew. Chem., kde je řešitel hlavním autorem. Panel P207 chce svým rozhodnutím vyjádřit podporu odvaze juniorského řešitele zaměřit se na aktuální výzvy v syntéze přírodních látek a jeho stávajícím i b</w:t>
      </w:r>
      <w:r>
        <w:t>udoucím počinům. Při posuzování Panel přihlížel především k celkové výborné kvalitě řešení tématu v jeho neobyčejné šíři a komplexnosti, ne ke kvantitě publikačních výstupů.</w:t>
      </w:r>
    </w:p>
    <w:p w:rsidR="00ED0C90" w:rsidRDefault="00ED0C90" w:rsidP="00ED0C90"/>
    <w:p w:rsidR="00BF3195" w:rsidRDefault="00216728" w:rsidP="00ED0C90">
      <w:pPr>
        <w:rPr>
          <w:b/>
        </w:rPr>
      </w:pPr>
      <w:r>
        <w:rPr>
          <w:b/>
        </w:rPr>
        <w:t>Rok udělení ceny:</w:t>
      </w:r>
      <w:r>
        <w:rPr>
          <w:b/>
        </w:rPr>
        <w:tab/>
        <w:t>2017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 xml:space="preserve">Reg.č.: </w:t>
      </w:r>
      <w:r w:rsidRPr="00AA6B87">
        <w:rPr>
          <w:b/>
        </w:rPr>
        <w:tab/>
      </w:r>
      <w:r w:rsidRPr="00AA6B87">
        <w:rPr>
          <w:b/>
        </w:rPr>
        <w:tab/>
        <w:t>14-20666P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>Název:</w:t>
      </w:r>
      <w:r w:rsidRPr="00AA6B87">
        <w:rPr>
          <w:b/>
        </w:rPr>
        <w:tab/>
      </w:r>
      <w:r w:rsidRPr="00AA6B87">
        <w:rPr>
          <w:b/>
        </w:rPr>
        <w:tab/>
        <w:t>Původ emise a absorpce Lyman a</w:t>
      </w:r>
      <w:r w:rsidRPr="00AA6B87">
        <w:rPr>
          <w:b/>
        </w:rPr>
        <w:t>lfa v galaxiích</w:t>
      </w:r>
    </w:p>
    <w:p w:rsidR="00ED0C90" w:rsidRDefault="00216728" w:rsidP="00ED0C90">
      <w:r w:rsidRPr="00AA6B87">
        <w:rPr>
          <w:b/>
        </w:rPr>
        <w:t>Řešitel:</w:t>
      </w:r>
      <w:r>
        <w:tab/>
      </w:r>
      <w:r>
        <w:tab/>
        <w:t>Mgr. Ivana Orlitová, Ph.D.</w:t>
      </w:r>
    </w:p>
    <w:p w:rsidR="00ED0C90" w:rsidRDefault="00216728" w:rsidP="00ED0C90">
      <w:r w:rsidRPr="00AA6B87">
        <w:rPr>
          <w:b/>
        </w:rPr>
        <w:t>Příjemce:</w:t>
      </w:r>
      <w:r>
        <w:tab/>
      </w:r>
      <w:r w:rsidR="00AA6B87">
        <w:tab/>
      </w:r>
      <w:r>
        <w:t>Astronomický ústav AV ČR, v.v.i.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>Abstrakt:</w:t>
      </w:r>
    </w:p>
    <w:p w:rsidR="00ED0C90" w:rsidRDefault="00216728" w:rsidP="00ED0C90">
      <w:r>
        <w:t>Studium raného vesmíru je jedním z nejžhavějších témat současné pozorovatelské i teoretické astronomie, s cílem porozumět formování prvních kosmologických struktur a ionizaci vesmíru prvními hvězdami. Detekce vzdálených galaxií a určování jejich vlastností</w:t>
      </w:r>
      <w:r>
        <w:t xml:space="preserve"> je z velké části možné jen díky spektrální čáře Lyman alfa (Lya). Rezonanční povaha této čáry však komplikuje interpretaci pozorování kvůli jevům způsobeným přenosem záření. Pro pochopení procesu emise Lya a jejího přenosu mezihvězdným plynem a prachem je</w:t>
      </w:r>
      <w:r>
        <w:t xml:space="preserve"> proto nutné tyto jevy studovat detailně v blízkých galaxiích. Navrhujeme provést detailní studii na jedinečném vzorku 14 blízkých galaxií pozorovaných v současné době dalekohledem HST a paralelně pozemními dalekohledy. Budeme zkoumat množství a rozložení </w:t>
      </w:r>
      <w:r>
        <w:t>prachu v galaxiích, strukturu a kinematiku plynu, morfologii a orientaci galaxií. Interpretujeme prostorově rozlišená i</w:t>
      </w:r>
      <w:r w:rsidR="008D4902">
        <w:t> </w:t>
      </w:r>
      <w:r>
        <w:t>integrovaná spektra pomocí modelování profilů čáry Lya s použitím výkonného kódu, který řeší přenos záření ve 3D.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 xml:space="preserve">Zdůvodnění expertního </w:t>
      </w:r>
      <w:r w:rsidRPr="00AA6B87">
        <w:rPr>
          <w:b/>
        </w:rPr>
        <w:t>a poradního orgánu:</w:t>
      </w:r>
    </w:p>
    <w:p w:rsidR="00ED0C90" w:rsidRDefault="00216728" w:rsidP="00ED0C90">
      <w:r>
        <w:t>Dosažený výsledek je výjimečný v několika aspektech. Především po dvaceti letech neúspěšného hledání ukazuje, že ionizující UV záření může z galaxií unikat. Řeší se tím jedna z otázek ohledně ionizace vesmíru během první miliardy let vý</w:t>
      </w:r>
      <w:r>
        <w:t>voje. Druhým přínosem je prokázání účinnosti Lyman-alfa jako diagnostiky. Záření Lyman-alfa je hlavním nástrojem k</w:t>
      </w:r>
      <w:r w:rsidR="008D4902">
        <w:t> </w:t>
      </w:r>
      <w:r>
        <w:t>pozorování raného vesmíru, dosud se ale používalo spíše na detekci galaxií než na určení jejich vlastností. Úspěšnou předpovědí pozorování al</w:t>
      </w:r>
      <w:r>
        <w:t>e řešitelka ukázala, že Lyman-alfa diagnostika má v kombinaci s teoretickými modely velký potenciál. Tyto výsledky mají jasné aplikace pro další pozorování v blízkém i vzdáleném vesmíru a astronomická komunita na to začala ihned reagovat snahou podobné pos</w:t>
      </w:r>
      <w:r>
        <w:t>tupy použít.</w:t>
      </w:r>
    </w:p>
    <w:p w:rsidR="00ED0C90" w:rsidRDefault="00216728" w:rsidP="00ED0C90">
      <w:r>
        <w:t>Jedná se skvěle řešený postdoktorský projekt, který příkladně spojuje špičkovou teorii s</w:t>
      </w:r>
      <w:r w:rsidR="008D4902">
        <w:t> </w:t>
      </w:r>
      <w:r>
        <w:t>brilantním vyhodnocením pozorovacích dat z Hubbleova teleskopu. Výsledky projektu byly publikovány v celkem 9 impaktovaných článcích, z toho jeden v prest</w:t>
      </w:r>
      <w:r>
        <w:t>ižním časopise Nature. Je neobvyklé, aby postdoktorand se stal spoluautorem článku v Nature, navíc na druhém místě v pořadí autorů. I všechny ostatní publikační výstupy jsou velice kvalitní a byly publikovány ve špičkových oborových časopisech. Publikace j</w:t>
      </w:r>
      <w:r>
        <w:t>iž také vzbudily značný ohlas ve vědecké obci, za krátkou dobu od vydání byly tři z výše uvedených prací citovány dohromady více než 50x. Tým, ve kterém řešitelka pracovala byl také velmi úspěšný v získávání pozorovacího času na špičkových přístrojích, nap</w:t>
      </w:r>
      <w:r>
        <w:t xml:space="preserve">ř. k pozorování Hubbleovým vesmírným teleskopem (HST) bylo přijato 8 návrhů na kterých se podílela, z toho ve 3 případech byla řešitelka v roli hlavního výzkumníka (principal investigator - PI; pro srovnání, za dobu řešení projektu byl v získávání času na </w:t>
      </w:r>
      <w:r>
        <w:t>HST úspěšný jen jeden další projekt s PI z ČR). Je chvályhodné, jak se řešitelka zapojila do práce v prestižním mezinárodním týmu, ve kterém výtečně reprezentovala českou vědu.</w:t>
      </w:r>
    </w:p>
    <w:p w:rsidR="00ED0C90" w:rsidRDefault="00216728" w:rsidP="00ED0C90">
      <w:r>
        <w:t>Řešitelka se ale také s velkou energií věnuje popularizaci. O objevu publikovan</w:t>
      </w:r>
      <w:r>
        <w:t>ém v Nature vydali tiskovou zprávu GAČR, Astronomický ústav a AVČR; následně řešitelka poskytovala rozhovory pro řadu českých (ČTK, Hospodářské noviny, Mladou fronta DNES, Rádio Zet) i</w:t>
      </w:r>
      <w:r w:rsidR="008D4902">
        <w:t> </w:t>
      </w:r>
      <w:r>
        <w:t xml:space="preserve">zahraničních (USA, Švýcarsko) médií. Řešitelka je též (spolu)-autorkou </w:t>
      </w:r>
      <w:r>
        <w:t>3 popularizačních článků (pro Vesmír, Astropis a Akademický bulletin), přednášela pro studenty gymnázií a</w:t>
      </w:r>
      <w:r w:rsidR="008D4902">
        <w:t> </w:t>
      </w:r>
      <w:r>
        <w:t>posluchače na veřejných observatořích.</w:t>
      </w:r>
    </w:p>
    <w:p w:rsidR="00ED0C90" w:rsidRDefault="00216728" w:rsidP="00ED0C90">
      <w:r>
        <w:t>Za zmínku také stojí, že řešitelka byla vybrána mezi nejlepší absolventy švýcarského programu SCIEX, v rámci kt</w:t>
      </w:r>
      <w:r>
        <w:t>erého získala grant, který předcházel tomuto postdoktorskému projektu GAČR. Tento postdoktorský projekt a následný juniorský projekt GAČR, na kterém nyní řešitelka pracuje, umožnily řešitelce dlouhodobý restart její kariéry v astronomii po návratu z mateřs</w:t>
      </w:r>
      <w:r>
        <w:t>ké a rodičovské dovolené v letech (2010-2012).</w:t>
      </w:r>
    </w:p>
    <w:p w:rsidR="00ED0C90" w:rsidRDefault="00ED0C90" w:rsidP="00ED0C90"/>
    <w:p w:rsidR="008D4902" w:rsidRDefault="00216728" w:rsidP="00ED0C90">
      <w:pPr>
        <w:rPr>
          <w:b/>
        </w:rPr>
      </w:pPr>
      <w:r>
        <w:rPr>
          <w:b/>
        </w:rPr>
        <w:t>Rok udělení ceny:</w:t>
      </w:r>
      <w:r>
        <w:rPr>
          <w:b/>
        </w:rPr>
        <w:tab/>
        <w:t>2017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>Reg.č.:</w:t>
      </w:r>
      <w:r w:rsidRPr="00AA6B87">
        <w:rPr>
          <w:b/>
        </w:rPr>
        <w:tab/>
      </w:r>
      <w:r w:rsidRPr="00AA6B87">
        <w:rPr>
          <w:b/>
        </w:rPr>
        <w:tab/>
        <w:t>13-34374P</w:t>
      </w:r>
    </w:p>
    <w:p w:rsidR="00ED0C90" w:rsidRPr="00AA6B87" w:rsidRDefault="00216728" w:rsidP="00AA6B87">
      <w:pPr>
        <w:ind w:left="2127" w:hanging="2127"/>
        <w:rPr>
          <w:b/>
        </w:rPr>
      </w:pPr>
      <w:r w:rsidRPr="00AA6B87">
        <w:rPr>
          <w:b/>
        </w:rPr>
        <w:t>Název:</w:t>
      </w:r>
      <w:r w:rsidRPr="00AA6B87">
        <w:rPr>
          <w:b/>
        </w:rPr>
        <w:tab/>
        <w:t>Život běžných obyvatel na Pražském hradě za prvních Habsburků. Analýza hmotné kultury ve středoevropských souvislostech</w:t>
      </w:r>
      <w:r w:rsidR="00AA6B87">
        <w:rPr>
          <w:b/>
        </w:rPr>
        <w:t>.</w:t>
      </w:r>
    </w:p>
    <w:p w:rsidR="00ED0C90" w:rsidRDefault="00216728" w:rsidP="00ED0C90">
      <w:r w:rsidRPr="00AA6B87">
        <w:rPr>
          <w:b/>
        </w:rPr>
        <w:t>Řešitel:</w:t>
      </w:r>
      <w:r>
        <w:tab/>
      </w:r>
      <w:r>
        <w:tab/>
        <w:t>Mgr. Gabriela Blažková, Ph.D</w:t>
      </w:r>
      <w:r>
        <w:t>.</w:t>
      </w:r>
    </w:p>
    <w:p w:rsidR="00ED0C90" w:rsidRDefault="00216728" w:rsidP="00ED0C90">
      <w:r w:rsidRPr="00AA6B87">
        <w:rPr>
          <w:b/>
        </w:rPr>
        <w:t>Příjemce:</w:t>
      </w:r>
      <w:r>
        <w:tab/>
      </w:r>
      <w:r w:rsidR="00AA6B87">
        <w:tab/>
      </w:r>
      <w:r>
        <w:t>Archeologický ústav AV ČR, Praha, v.v.i.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>Abstrakt:</w:t>
      </w:r>
      <w:r w:rsidRPr="00AA6B87">
        <w:rPr>
          <w:b/>
        </w:rPr>
        <w:tab/>
      </w:r>
    </w:p>
    <w:p w:rsidR="00ED0C90" w:rsidRDefault="00216728" w:rsidP="00ED0C90">
      <w:r>
        <w:t xml:space="preserve">Koncepce projektu vychází z rostoucího zájmu o postmedievální archeologii napříč Evropou. </w:t>
      </w:r>
    </w:p>
    <w:p w:rsidR="00ED0C90" w:rsidRDefault="00216728" w:rsidP="00ED0C90">
      <w:r>
        <w:t>Dosud vznikl na tomto poli v Českých zemích omezený počet studií, navíc mnohdy publikovaných v muzej</w:t>
      </w:r>
      <w:r>
        <w:t>ních a regionálních, obtížně dostupných periodicích. Tyto studie tak neposkytují ucelenou představu o charakteru domácí raně novověké hmotné kultury. Cílem předkládaného projektu je souhrnné zveřejnění stěžejních nálezových souborů hmotné kultury postmedie</w:t>
      </w:r>
      <w:r>
        <w:t>válního období z Pražského hradu a na jejich základě pokusit se podchytit základní vývojové trendy české dobové keramiky a skla. Dalším cílem je snaha o začlenění domácí produkce do širšího středoevropského kontextu, včetně sledování přeshraničních obchodn</w:t>
      </w:r>
      <w:r>
        <w:t>ích kontaktů. Čistě archeologické metody budou doplněny přírodovědnými analýzami glazur s</w:t>
      </w:r>
      <w:r w:rsidR="00362858">
        <w:t> </w:t>
      </w:r>
      <w:r>
        <w:t>důrazem na porovnání chemického a mineralogického složení glazur domácí a zahraniční produkce. Nově provedené rešerše archivních pramenů přispějí k integrace archeolo</w:t>
      </w:r>
      <w:r>
        <w:t>gických poznatků do širšího konceptu historického vývoje Pražského hradu.</w:t>
      </w:r>
    </w:p>
    <w:p w:rsidR="00ED0C90" w:rsidRPr="00AA6B87" w:rsidRDefault="00216728" w:rsidP="00ED0C90">
      <w:pPr>
        <w:rPr>
          <w:b/>
        </w:rPr>
      </w:pPr>
      <w:r w:rsidRPr="00AA6B87">
        <w:rPr>
          <w:b/>
        </w:rPr>
        <w:t>Zdůvodnění expertního a poradního orgánu:</w:t>
      </w:r>
    </w:p>
    <w:p w:rsidR="00ED0C90" w:rsidRDefault="00216728" w:rsidP="00ED0C90">
      <w:r>
        <w:t>1. Projekt Dr. Gabriely Blažkové má všechny atributy mimořádného vědeckého počinu. Byl zaměřen na dosud velmi slabě poznanou oblast vědeckéh</w:t>
      </w:r>
      <w:r>
        <w:t>o poznání s velkým potenciálem – tzv. postmedievální archeologii. Tato specializace se v posledních letech v evropském měřítku rychle rozvíjí, což usnadní výsledkům z Pražského hradu cestu do mezinárodního badatelského diskursu. Jak naznačují první ohlasy,</w:t>
      </w:r>
      <w:r>
        <w:t xml:space="preserve"> Pražský hrad se zásluhou projektu stal v</w:t>
      </w:r>
      <w:r w:rsidR="00362858">
        <w:t> </w:t>
      </w:r>
      <w:r>
        <w:t>zahraničí ceněnou adresou.</w:t>
      </w:r>
    </w:p>
    <w:p w:rsidR="00ED0C90" w:rsidRDefault="00216728" w:rsidP="00ED0C90">
      <w:r>
        <w:t>2. Řešitelka a její tým interpretují archeologické výsledky v kulturně historickém kontextu a</w:t>
      </w:r>
      <w:r w:rsidR="00362858">
        <w:t> </w:t>
      </w:r>
      <w:r>
        <w:t>pracují také s bohatým rejstříkem přírodovědných analýz, čímž téma zasazují do široké interdi</w:t>
      </w:r>
      <w:r>
        <w:t>sciplinární perspektivy.</w:t>
      </w:r>
    </w:p>
    <w:p w:rsidR="00ED0C90" w:rsidRDefault="00216728" w:rsidP="00ED0C90">
      <w:r>
        <w:t xml:space="preserve">3. Badatelce mladší generace se podařilo vytvořit zralé dílo, které bude představovat fundus archeologie raného novověku v Čechách. Kromě toho je třeba také zdůraznit, že publikovaná monografie se vyznačuje nezvykle vysokou úrovní </w:t>
      </w:r>
      <w:r>
        <w:t>kresebné a fotografické dokumentace. Ta dodává běžnému archeologickému artefaktu, jakým je keramika a sklo, výtvarnou působivost a činí z monografie o Pražském hradu atraktivní knihu i pro širší veřejnost.</w:t>
      </w:r>
    </w:p>
    <w:p w:rsidR="00ED0C90" w:rsidRDefault="00216728" w:rsidP="00ED0C90">
      <w:r>
        <w:t>4. Jak již zaznělo na jiném místě, výzkum dr. Gabr</w:t>
      </w:r>
      <w:r>
        <w:t>iely Blažkové významným způsobem doplnil obraz Prahy v dobách, kdy byla centrem evropského dění. Odtud také plyne, že příkladné zpracování a vyhodnocení nálezů má mimořádný význam, neboť představuje zásadní zdroj poznatků pro studium každodennosti raně nov</w:t>
      </w:r>
      <w:r>
        <w:t>ověké, renesanční a barokní, hmotné kultury.</w:t>
      </w:r>
    </w:p>
    <w:p w:rsidR="00ED0C90" w:rsidRDefault="00ED0C90" w:rsidP="00ED0C90"/>
    <w:p w:rsidR="00362858" w:rsidRDefault="00216728" w:rsidP="00ED0C90">
      <w:pPr>
        <w:rPr>
          <w:b/>
        </w:rPr>
      </w:pPr>
      <w:r>
        <w:rPr>
          <w:b/>
        </w:rPr>
        <w:t>Rok udělení ceny:</w:t>
      </w:r>
      <w:r>
        <w:rPr>
          <w:b/>
        </w:rPr>
        <w:tab/>
        <w:t>2016</w:t>
      </w:r>
    </w:p>
    <w:p w:rsidR="00ED0C90" w:rsidRDefault="00216728" w:rsidP="00ED0C90">
      <w:r w:rsidRPr="00ED0C90">
        <w:rPr>
          <w:b/>
        </w:rPr>
        <w:t>Reg.č.:</w:t>
      </w:r>
      <w:r>
        <w:tab/>
      </w:r>
      <w:r>
        <w:tab/>
      </w:r>
      <w:r w:rsidRPr="00ED0C90">
        <w:rPr>
          <w:b/>
        </w:rPr>
        <w:t>P204/12/P235</w:t>
      </w:r>
    </w:p>
    <w:p w:rsidR="00ED0C90" w:rsidRPr="00ED0C90" w:rsidRDefault="00216728" w:rsidP="00ED0C90">
      <w:pPr>
        <w:ind w:left="2127" w:hanging="2127"/>
        <w:rPr>
          <w:b/>
        </w:rPr>
      </w:pPr>
      <w:r w:rsidRPr="00ED0C90">
        <w:rPr>
          <w:b/>
        </w:rPr>
        <w:t>Název:</w:t>
      </w:r>
      <w:r w:rsidRPr="00ED0C90">
        <w:rPr>
          <w:b/>
        </w:rPr>
        <w:tab/>
        <w:t>Makroskopické a mikroskopické luminiscenční vlastnosti křemíkových nanočástic</w:t>
      </w:r>
    </w:p>
    <w:p w:rsidR="00ED0C90" w:rsidRDefault="00216728" w:rsidP="00ED0C90">
      <w:r w:rsidRPr="00ED0C90">
        <w:rPr>
          <w:b/>
        </w:rPr>
        <w:t>Řešitel:</w:t>
      </w:r>
      <w:r>
        <w:tab/>
      </w:r>
      <w:r>
        <w:tab/>
        <w:t>RNDr. Kateřina Kůsová, Ph.D.</w:t>
      </w:r>
    </w:p>
    <w:p w:rsidR="00ED0C90" w:rsidRDefault="00216728" w:rsidP="00ED0C90">
      <w:r w:rsidRPr="00ED0C90">
        <w:rPr>
          <w:b/>
        </w:rPr>
        <w:t>Příjemce:</w:t>
      </w:r>
      <w:r>
        <w:tab/>
      </w:r>
      <w:r>
        <w:tab/>
        <w:t>Fyzikální ústav AV ČR, v.v.i.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Abstrakt:</w:t>
      </w:r>
    </w:p>
    <w:p w:rsidR="00ED0C90" w:rsidRDefault="00216728" w:rsidP="00ED0C90">
      <w:r>
        <w:t>Luminiskující křemíkové nanokrystaly (SiNc) jsou materiálem, který přitahuje pozornost ve vědecké komunitě zvláště kvůli slibným aplikacím v oblasti optoelektroniky a fluorescenčního značkování. Nedávno se v naší laboratoři podařilo připravit nov</w:t>
      </w:r>
      <w:r>
        <w:t>ý typ SiNc ve formě koloidní disperze s povrchem na bázi metylových skupin se zlepšenými fotoluminiscenčními (PL) vlastnostmi ve srovnání s tradičně studovanými SiNc s povrchem pokrytým nativním oxidem (vyšší kvantová účinnost PL, značně kratší doba zářivé</w:t>
      </w:r>
      <w:r>
        <w:t xml:space="preserve"> rekombinace, vysoká optická kvalita) [ACS Nano 4, 4495 (2010)]. V rámci navrhovaného projektu chceme hlouběji porozumět makroskopickým luminiscenčním vlastnostem toho materiálu, včetně možné role jiných rozpouštědel v dalším zvýšení PL, a studovat fyzikál</w:t>
      </w:r>
      <w:r>
        <w:t>ní procesy zodpovědné za emisi světla pomocí mikroskopických experimentů, zvláště blikání. Vzhledem k tomu, že na světě bylo zatím provedeno pouze malé množství studií blikání SiNc s poněkud rozporuplnými výsledky, má tento výzkum potenciál význačně přispě</w:t>
      </w:r>
      <w:r>
        <w:t>t k porozumění mikroskopických fotofyzikálních procesů v tomto materiálu.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Zdůvodnění expertního a poradního orgánu:</w:t>
      </w:r>
    </w:p>
    <w:p w:rsidR="00ED0C90" w:rsidRDefault="00216728" w:rsidP="00ED0C90">
      <w:r>
        <w:t>Vzhledem k vysoké fundovanosti řešitelky, excelentním vědeckým výsledkům, které jsou považovány za průlomové v oblasti studia luminiscenčníc</w:t>
      </w:r>
      <w:r>
        <w:t xml:space="preserve">h vlastností monokrystalů a jsou dokladovány publikacemi v nejprestižnějších časopisech s vysokou citovaností lze konstatovat, že projekt je hodnocen jako vynikající. Jedná se o postdoktorandský projekt, kde řešitelka prokazuje vysokou, brilantní vědeckou </w:t>
      </w:r>
      <w:r>
        <w:t>úroveň a současně dosáhla vědeckých výsledků, které zvláště u mladé vědecké pracovnice, dle našeho názoru, zasluhují ocenění.</w:t>
      </w:r>
    </w:p>
    <w:p w:rsidR="00ED0C90" w:rsidRDefault="00ED0C90" w:rsidP="00ED0C90"/>
    <w:p w:rsidR="00ED0C90" w:rsidRPr="00ED0C90" w:rsidRDefault="00216728" w:rsidP="00AA6B87">
      <w:pPr>
        <w:pStyle w:val="Nadpis2"/>
        <w:ind w:left="1418" w:hanging="284"/>
        <w:jc w:val="left"/>
        <w:rPr>
          <w:rFonts w:eastAsia="Times New Roman"/>
          <w:lang w:eastAsia="cs-CZ"/>
        </w:rPr>
      </w:pPr>
      <w:bookmarkStart w:id="103" w:name="_Toc256000013"/>
      <w:bookmarkStart w:id="104" w:name="_Toc14183932"/>
      <w:r w:rsidRPr="00ED0C90">
        <w:rPr>
          <w:rFonts w:eastAsia="Times New Roman"/>
          <w:lang w:eastAsia="cs-CZ"/>
        </w:rPr>
        <w:t>5.</w:t>
      </w:r>
      <w:r w:rsidR="00AA6B87">
        <w:rPr>
          <w:rFonts w:eastAsia="Times New Roman"/>
          <w:lang w:eastAsia="cs-CZ"/>
        </w:rPr>
        <w:t xml:space="preserve">2 </w:t>
      </w:r>
      <w:r w:rsidRPr="00ED0C90">
        <w:rPr>
          <w:rFonts w:eastAsia="Times New Roman"/>
          <w:lang w:eastAsia="cs-CZ"/>
        </w:rPr>
        <w:t>Juniorské</w:t>
      </w:r>
      <w:r w:rsidR="00AA6B87">
        <w:rPr>
          <w:rFonts w:eastAsia="Times New Roman"/>
          <w:lang w:eastAsia="cs-CZ"/>
        </w:rPr>
        <w:t xml:space="preserve"> </w:t>
      </w:r>
      <w:r w:rsidRPr="00ED0C90">
        <w:rPr>
          <w:rFonts w:eastAsia="Times New Roman"/>
          <w:lang w:eastAsia="cs-CZ"/>
        </w:rPr>
        <w:t>/</w:t>
      </w:r>
      <w:r w:rsidR="00AA6B87">
        <w:rPr>
          <w:rFonts w:eastAsia="Times New Roman"/>
          <w:lang w:eastAsia="cs-CZ"/>
        </w:rPr>
        <w:t xml:space="preserve"> </w:t>
      </w:r>
      <w:r w:rsidRPr="00ED0C90">
        <w:rPr>
          <w:rFonts w:eastAsia="Times New Roman"/>
          <w:lang w:eastAsia="cs-CZ"/>
        </w:rPr>
        <w:t>postdoktorské projekty nominované expertními a</w:t>
      </w:r>
      <w:r w:rsidR="005A29A0">
        <w:rPr>
          <w:rFonts w:eastAsia="Times New Roman"/>
          <w:lang w:eastAsia="cs-CZ"/>
        </w:rPr>
        <w:t> </w:t>
      </w:r>
      <w:r w:rsidRPr="00ED0C90">
        <w:rPr>
          <w:rFonts w:eastAsia="Times New Roman"/>
          <w:lang w:eastAsia="cs-CZ"/>
        </w:rPr>
        <w:t>poradními orgány na Cenu předsedkyně</w:t>
      </w:r>
      <w:r w:rsidR="00AA6B87">
        <w:rPr>
          <w:rFonts w:eastAsia="Times New Roman"/>
          <w:lang w:eastAsia="cs-CZ"/>
        </w:rPr>
        <w:t xml:space="preserve"> </w:t>
      </w:r>
      <w:r w:rsidRPr="00ED0C90">
        <w:rPr>
          <w:rFonts w:eastAsia="Times New Roman"/>
          <w:lang w:eastAsia="cs-CZ"/>
        </w:rPr>
        <w:t>/</w:t>
      </w:r>
      <w:r w:rsidR="00AA6B87">
        <w:rPr>
          <w:rFonts w:eastAsia="Times New Roman"/>
          <w:lang w:eastAsia="cs-CZ"/>
        </w:rPr>
        <w:t xml:space="preserve"> </w:t>
      </w:r>
      <w:r w:rsidRPr="00ED0C90">
        <w:rPr>
          <w:rFonts w:eastAsia="Times New Roman"/>
          <w:lang w:eastAsia="cs-CZ"/>
        </w:rPr>
        <w:t>předsedy GA ČR v</w:t>
      </w:r>
      <w:r w:rsidR="005A29A0">
        <w:rPr>
          <w:rFonts w:eastAsia="Times New Roman"/>
          <w:lang w:eastAsia="cs-CZ"/>
        </w:rPr>
        <w:t> </w:t>
      </w:r>
      <w:r w:rsidRPr="00ED0C90">
        <w:rPr>
          <w:rFonts w:eastAsia="Times New Roman"/>
          <w:lang w:eastAsia="cs-CZ"/>
        </w:rPr>
        <w:t>letech 201</w:t>
      </w:r>
      <w:r w:rsidRPr="00ED0C90">
        <w:rPr>
          <w:rFonts w:eastAsia="Times New Roman"/>
          <w:lang w:eastAsia="cs-CZ"/>
        </w:rPr>
        <w:t>5 - 2019</w:t>
      </w:r>
      <w:bookmarkEnd w:id="103"/>
      <w:bookmarkEnd w:id="104"/>
    </w:p>
    <w:p w:rsidR="00ED0C90" w:rsidRDefault="00ED0C90" w:rsidP="00ED0C90"/>
    <w:p w:rsidR="00ED0C90" w:rsidRDefault="00216728" w:rsidP="00ED0C90">
      <w:r w:rsidRPr="00ED0C90">
        <w:rPr>
          <w:b/>
        </w:rPr>
        <w:t>Reg.č.:</w:t>
      </w:r>
      <w:r>
        <w:t xml:space="preserve"> </w:t>
      </w:r>
      <w:r>
        <w:tab/>
      </w:r>
      <w:r>
        <w:tab/>
      </w:r>
      <w:r w:rsidRPr="00ED0C90">
        <w:rPr>
          <w:b/>
        </w:rPr>
        <w:t>16-09709Y</w:t>
      </w:r>
    </w:p>
    <w:p w:rsidR="00ED0C90" w:rsidRPr="00ED0C90" w:rsidRDefault="00216728" w:rsidP="00ED0C90">
      <w:pPr>
        <w:ind w:left="2127" w:hanging="2127"/>
        <w:rPr>
          <w:b/>
        </w:rPr>
      </w:pPr>
      <w:r w:rsidRPr="00ED0C90">
        <w:rPr>
          <w:b/>
        </w:rPr>
        <w:t>Název:</w:t>
      </w:r>
      <w:r w:rsidRPr="00ED0C90">
        <w:rPr>
          <w:b/>
        </w:rPr>
        <w:tab/>
        <w:t>Výskyt a osud syntetických progestinů ve vodním prostředí a jejich vliv na ryby</w:t>
      </w:r>
    </w:p>
    <w:p w:rsidR="00ED0C90" w:rsidRDefault="00216728" w:rsidP="00ED0C90">
      <w:r w:rsidRPr="00ED0C90">
        <w:rPr>
          <w:b/>
        </w:rPr>
        <w:t>Řešitel:</w:t>
      </w:r>
      <w:r>
        <w:tab/>
      </w:r>
      <w:r>
        <w:tab/>
        <w:t>Ing. Hana Kocour Kroupová, Ph.D.</w:t>
      </w:r>
    </w:p>
    <w:p w:rsidR="00ED0C90" w:rsidRDefault="00216728" w:rsidP="00ED0C90">
      <w:pPr>
        <w:ind w:left="2127" w:hanging="2127"/>
      </w:pPr>
      <w:r w:rsidRPr="00ED0C90">
        <w:rPr>
          <w:b/>
        </w:rPr>
        <w:t>Příjemce:</w:t>
      </w:r>
      <w:r>
        <w:tab/>
        <w:t>Jihočeská univerzita v Českých Budějovicích (Fakulta rybářství a</w:t>
      </w:r>
      <w:r w:rsidR="005A29A0">
        <w:t> </w:t>
      </w:r>
      <w:r>
        <w:t>ochrany vod)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Abstrakt</w:t>
      </w:r>
      <w:r w:rsidRPr="00ED0C90">
        <w:rPr>
          <w:b/>
        </w:rPr>
        <w:t>:</w:t>
      </w:r>
    </w:p>
    <w:p w:rsidR="00ED0C90" w:rsidRDefault="00216728" w:rsidP="00ED0C90">
      <w:r>
        <w:t>Cílem projektu je sledovat výskyt a osud syntetických progestinů a progesteronu ve vodním prostředí některých evropských zemí. V odebraných vzorcích vody bude současně pomocí in vitro testů zjišťována progestagenní aktivita a korelována s koncentrací pro</w:t>
      </w:r>
      <w:r>
        <w:t>gestinů. Účinky vybraných syntetických progestinů na raný vývoj a vývoj gonád ryb a jejich vliv na sexuální chování ryb budou studovány v laboratorních podmínkách. Informace o výskytu a osudu syntetických progestinů ve vodním prostředí a o nejnižších konce</w:t>
      </w:r>
      <w:r>
        <w:t>ntracích, u kterých byl zaznamenán vliv na ryby v laboratorních podmínkách, může pomoci při hodnocení potenciálních rizik těchto látek pro životní prostředí.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Zdůvodnění expertního a poradního orgánu:</w:t>
      </w:r>
    </w:p>
    <w:p w:rsidR="00ED0C90" w:rsidRDefault="00216728" w:rsidP="00ED0C90">
      <w:r>
        <w:t>Řešitelka juniorského projektu splnila velmi kvalitně cí</w:t>
      </w:r>
      <w:r>
        <w:t>le projektu. Výsledky byly publikovány ve čtyřech předních impaktovaných časopisech Q1 v oboru. Souhrnný impakt faktor je v</w:t>
      </w:r>
      <w:r w:rsidR="005A29A0">
        <w:t> </w:t>
      </w:r>
      <w:r>
        <w:t>daném oboru velmi vysoký – 20,810. Vzhledem k tomu, že se jednalo o projekt juniorský, navrhuje panel 503 tento projekt na Cenu před</w:t>
      </w:r>
      <w:r>
        <w:t>sedkyně GAČR.</w:t>
      </w:r>
    </w:p>
    <w:p w:rsidR="00ED0C90" w:rsidRDefault="00ED0C90" w:rsidP="00ED0C90"/>
    <w:p w:rsidR="00ED0C90" w:rsidRDefault="00216728" w:rsidP="00ED0C90">
      <w:r w:rsidRPr="00ED0C90">
        <w:rPr>
          <w:b/>
        </w:rPr>
        <w:t>Reg.č.:</w:t>
      </w:r>
      <w:r>
        <w:t xml:space="preserve"> </w:t>
      </w:r>
      <w:r>
        <w:tab/>
      </w:r>
      <w:r>
        <w:tab/>
      </w:r>
      <w:r w:rsidRPr="00ED0C90">
        <w:rPr>
          <w:b/>
        </w:rPr>
        <w:t>14-11402P</w:t>
      </w:r>
    </w:p>
    <w:p w:rsidR="00ED0C90" w:rsidRPr="00ED0C90" w:rsidRDefault="00216728" w:rsidP="00ED0C90">
      <w:pPr>
        <w:ind w:left="2127" w:hanging="2127"/>
        <w:rPr>
          <w:b/>
        </w:rPr>
      </w:pPr>
      <w:r w:rsidRPr="00ED0C90">
        <w:rPr>
          <w:b/>
        </w:rPr>
        <w:t>Název:</w:t>
      </w:r>
      <w:r w:rsidRPr="00ED0C90">
        <w:rPr>
          <w:b/>
        </w:rPr>
        <w:tab/>
        <w:t>Analýza dvoudimenzionální dlouhé paměti ve finančních časových řadách</w:t>
      </w:r>
    </w:p>
    <w:p w:rsidR="00ED0C90" w:rsidRDefault="00216728" w:rsidP="00ED0C90">
      <w:r w:rsidRPr="00ED0C90">
        <w:rPr>
          <w:b/>
        </w:rPr>
        <w:t>Řešitel:</w:t>
      </w:r>
      <w:r>
        <w:tab/>
      </w:r>
      <w:r>
        <w:tab/>
        <w:t>doc. PhDr. Ladislav Krištoufek Ph.D.</w:t>
      </w:r>
    </w:p>
    <w:p w:rsidR="00ED0C90" w:rsidRDefault="00216728" w:rsidP="00ED0C90">
      <w:r w:rsidRPr="00ED0C90">
        <w:rPr>
          <w:b/>
        </w:rPr>
        <w:t>Příjemce:</w:t>
      </w:r>
      <w:r>
        <w:tab/>
      </w:r>
      <w:r>
        <w:tab/>
        <w:t>Ústav teorie informace a automatizace AV ČR, v.v.i.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Abstrakt:</w:t>
      </w:r>
    </w:p>
    <w:p w:rsidR="00ED0C90" w:rsidRDefault="00216728" w:rsidP="00ED0C90">
      <w:r>
        <w:t>Projekt se zaměřuje na a</w:t>
      </w:r>
      <w:r>
        <w:t>nalýzu finančních časových řad v rámci dvourozměrné dlouhé paměti se zvláštním zaměřením na mocninný pokles funkce křížových korelací a důsledky pro dynamické vlastnosti takových procesů. Prvním cílem je použít tyto implikace pro konstrukci statistických t</w:t>
      </w:r>
      <w:r>
        <w:t>estů pro rozlišení mezi krátkou a dlouho pamětí. Druhým cílem je více zkoumat možnost mocninného zákona v čtvercové spektrální koherenci, a to zavedením nových testů a odhadů parametru mocninné koherence společně s vlastnostmi pro konečné řady. Třetím cíle</w:t>
      </w:r>
      <w:r>
        <w:t>m je zkoumat odhady parametrů dlouhé paměti v dvourozměrném prostředí a zavedení nových spektrálních odhadů. Celkově projekt cílí na navržení rámce pro zkoumání dlouhé paměti v křížových korelacích ve finančním prostředí, a to od testů na přítomnost této p</w:t>
      </w:r>
      <w:r>
        <w:t>aměti přes možnost mocnině koherence až po odhad parametrů křížové dlouhé paměti se zaměřením na standardní finanční stylizovaná fakta.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Zdůvodnění expertního a poradního orgánu:</w:t>
      </w:r>
    </w:p>
    <w:p w:rsidR="00ED0C90" w:rsidRDefault="00216728" w:rsidP="00ED0C90">
      <w:r>
        <w:t>Projekt přináší nové poznatky ohledně křížových korelací mezi dvěma časovými ř</w:t>
      </w:r>
      <w:r>
        <w:t>adami s</w:t>
      </w:r>
      <w:r w:rsidR="005A29A0">
        <w:t> </w:t>
      </w:r>
      <w:r>
        <w:t>dlouhou pamětí, které lze využít jak v oborech relevantních pro panel 403, tak i v dalších vědeckých disciplínách. Výstupy projektu byly publikovány v relevantních časopisech s impakt faktorem. Rozsah publikační činnosti je vysoce nadprůměrný (13 č</w:t>
      </w:r>
      <w:r>
        <w:t>lánků v impaktovaných časopisech). Časopisy, ve kterých jsou výstupy projektu publikovány, se v žebříčcích impaktovaných časopisů pohybují zpravidla v prvním nebo druhém kvartilu.</w:t>
      </w:r>
    </w:p>
    <w:p w:rsidR="00ED0C90" w:rsidRDefault="00ED0C90" w:rsidP="00ED0C90"/>
    <w:p w:rsidR="00ED0C90" w:rsidRDefault="00216728" w:rsidP="00ED0C90">
      <w:r w:rsidRPr="00ED0C90">
        <w:rPr>
          <w:b/>
        </w:rPr>
        <w:t>Reg.č.:</w:t>
      </w:r>
      <w:r w:rsidRPr="00ED0C90">
        <w:rPr>
          <w:b/>
        </w:rPr>
        <w:tab/>
      </w:r>
      <w:r>
        <w:tab/>
      </w:r>
      <w:r w:rsidRPr="00ED0C90">
        <w:rPr>
          <w:b/>
        </w:rPr>
        <w:t>14-18149P</w:t>
      </w:r>
    </w:p>
    <w:p w:rsidR="00ED0C90" w:rsidRPr="00ED0C90" w:rsidRDefault="00216728" w:rsidP="00ED0C90">
      <w:pPr>
        <w:ind w:left="2127" w:hanging="2127"/>
        <w:rPr>
          <w:b/>
        </w:rPr>
      </w:pPr>
      <w:r w:rsidRPr="00ED0C90">
        <w:rPr>
          <w:b/>
        </w:rPr>
        <w:t>Název:</w:t>
      </w:r>
      <w:r w:rsidRPr="00ED0C90">
        <w:rPr>
          <w:b/>
        </w:rPr>
        <w:tab/>
        <w:t xml:space="preserve">Fyzikálně deponované a ukotvené kovové </w:t>
      </w:r>
      <w:r w:rsidRPr="00ED0C90">
        <w:rPr>
          <w:b/>
        </w:rPr>
        <w:t>nanostruktury na pevnolátkovém substrátu</w:t>
      </w:r>
    </w:p>
    <w:p w:rsidR="00ED0C90" w:rsidRDefault="00216728" w:rsidP="00ED0C90">
      <w:r w:rsidRPr="00ED0C90">
        <w:rPr>
          <w:b/>
        </w:rPr>
        <w:t>Řešitel:</w:t>
      </w:r>
      <w:r>
        <w:tab/>
      </w:r>
      <w:r>
        <w:tab/>
        <w:t>Ing. Alena Řezníčková Ph.D.</w:t>
      </w:r>
    </w:p>
    <w:p w:rsidR="00ED0C90" w:rsidRDefault="00216728" w:rsidP="00ED0C90">
      <w:pPr>
        <w:ind w:left="2127" w:hanging="2127"/>
      </w:pPr>
      <w:r w:rsidRPr="00ED0C90">
        <w:rPr>
          <w:b/>
        </w:rPr>
        <w:t>Příjemce:</w:t>
      </w:r>
      <w:r>
        <w:tab/>
        <w:t>Vysoká škola chemicko-technologická v Praze (Fakulta chemické technologie)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Abstrakt:</w:t>
      </w:r>
    </w:p>
    <w:p w:rsidR="00ED0C90" w:rsidRDefault="00216728" w:rsidP="00ED0C90">
      <w:r>
        <w:t xml:space="preserve">Projekt se zabývá (i) přípravou a charakterizací kovových nanostruktur (např. Au, </w:t>
      </w:r>
      <w:r>
        <w:t>Ag) na vybraných substrátech (tj. PTFE, celulóze a skle). Kovové nanostruktury budou připraveny teplotně řízenou fyzikální depozicí. Před depozicí bude povrch substrátu modifikován teplotně řízeným procesem plazmatické modifikace. Následně bude studován vl</w:t>
      </w:r>
      <w:r>
        <w:t>iv modifikace na povrchovou morfologii a velikost kovových nanostruktur. (ii) Na takto aktivované substráty budou chemicky navázány sloučeniny s thiolovými skupinami (tj. dithioly) a následně nanočástice ušlechtilých kovů (např. Au, Ag). Dále bude studován</w:t>
      </w:r>
      <w:r>
        <w:t xml:space="preserve"> vliv podmínek depozice a</w:t>
      </w:r>
      <w:r w:rsidR="005A29A0">
        <w:t> </w:t>
      </w:r>
      <w:r>
        <w:t>modifikace substrátu na povrchové (morfologické, fyzikální a chemické) vlastnosti připravených struktur. Takto připravené substráty budou studovány jako nosiče myších embrionálních buněk a lidských keratocinů, u kterých bude násle</w:t>
      </w:r>
      <w:r>
        <w:t>dně studována jejich adheze, proliferace a životaschopnost (in vitro). Studované struktury mohou najít uplatnění v</w:t>
      </w:r>
      <w:r w:rsidR="005A29A0">
        <w:t> </w:t>
      </w:r>
      <w:r>
        <w:t>elektronice a tkáňovém inženýrství.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Zdůvodnění expertního a poradního orgánu:</w:t>
      </w:r>
    </w:p>
    <w:p w:rsidR="00ED0C90" w:rsidRDefault="00216728" w:rsidP="00ED0C90">
      <w:r>
        <w:t>Projekt navrhovaný na Cenu předsedy GAČR se zabývá velmi aktuál</w:t>
      </w:r>
      <w:r>
        <w:t>ním a ve světě intenzivně studovaným tématem současného základního výzkumu – aplikovaným povrchovým inženýrstvím, konkrétně řízeným vytvářením kovových nanostruktur na polymerním substrátu. Řada nanostruktur vytvořených v rámci řešení projektu vykazuje výj</w:t>
      </w:r>
      <w:r>
        <w:t>imečné vlastnosti potenciálně využitelné v oblastech elektroniky či tkáňového inženýrství. Tříletý postdoktorský projekt zahrnuje syntetizaci nanočástic, řízené vytváření komplexních kovových nanostruktur na aktivovaném polymerním substrátu pomocí rozličný</w:t>
      </w:r>
      <w:r>
        <w:t>ch metod a následnou podrobnou a</w:t>
      </w:r>
      <w:r w:rsidR="005A29A0">
        <w:t> </w:t>
      </w:r>
      <w:r>
        <w:t>systematickou charakterizaci jak jejich struktury, tak zejména celé řady vlastností s ohledem na jejich možnou využitelnost v praktických aplikacích (vlastnosti elektrické, magnetické, biokompatibilita, proliferace a adheze</w:t>
      </w:r>
      <w:r>
        <w:t xml:space="preserve"> buněk atd.)</w:t>
      </w:r>
    </w:p>
    <w:p w:rsidR="00ED0C90" w:rsidRDefault="00216728" w:rsidP="00ED0C90">
      <w:r>
        <w:t>Významný přínos projektu k danému oboru spočívá</w:t>
      </w:r>
    </w:p>
    <w:p w:rsidR="00ED0C90" w:rsidRDefault="00216728" w:rsidP="00ED0C90">
      <w:r>
        <w:t>- v řízené a systematické přípravě kovových nanostruktur na polymerním substrátu a jejich následné podrobné charakterizaci jak strukturní, tak i celé řady charakteristických vlastností s</w:t>
      </w:r>
      <w:r w:rsidR="005A29A0">
        <w:t> </w:t>
      </w:r>
      <w:r>
        <w:t xml:space="preserve">ohledem </w:t>
      </w:r>
      <w:r>
        <w:t>na jejich potencionální využití</w:t>
      </w:r>
    </w:p>
    <w:p w:rsidR="00ED0C90" w:rsidRDefault="00216728" w:rsidP="00ED0C90">
      <w:r>
        <w:t>- v podrobné dokumentaci rozdílu v distribuci a velikosti nanočástic Ag, Au a dalších kovů (a) naroubovaných na plazmou aktivovaném polymerním podkladu prostřednictvím mezivrstvy dithiolu a (b) naroubovaných nanočástic přede</w:t>
      </w:r>
      <w:r>
        <w:t>m pokrytých dithiolem. Zjištěné rozdíly byly významné pro interpretaci výsledků měření různých vlastností výsledných nanonstruktur</w:t>
      </w:r>
    </w:p>
    <w:p w:rsidR="00ED0C90" w:rsidRDefault="00216728" w:rsidP="00ED0C90">
      <w:r>
        <w:t>- využití unikátní techniky HRTEM (high resolution transmission elektron microscopy) s</w:t>
      </w:r>
      <w:r w:rsidR="005A29A0">
        <w:t> </w:t>
      </w:r>
      <w:r>
        <w:t xml:space="preserve">vysokým rozlišením pro charakterizaci </w:t>
      </w:r>
      <w:r>
        <w:t>nanostruktur</w:t>
      </w:r>
    </w:p>
    <w:p w:rsidR="00ED0C90" w:rsidRDefault="00216728" w:rsidP="00ED0C90">
      <w:r>
        <w:t>- zjištění a podrobný popis morfologie povrchu a drsnosti různě připravených nanostruktue nanostruktur s ohledem na zlepšení adheze a proliferace buněk, tj. provedení in vitro experimentů s myšími fibroplasty a lidskými osteoblasty</w:t>
      </w:r>
    </w:p>
    <w:p w:rsidR="00ED0C90" w:rsidRDefault="00216728" w:rsidP="00ED0C90">
      <w:r>
        <w:t>- v příprav</w:t>
      </w:r>
      <w:r>
        <w:t>ě sendvičových struktur typu Au-Cu na polymerním nosiči, u nichž bylo detekováno výrazné zesílení signálu povrchově zesílené Ramanovské spektroskopie (SERS)</w:t>
      </w:r>
    </w:p>
    <w:p w:rsidR="00ED0C90" w:rsidRDefault="00ED0C90" w:rsidP="00ED0C90"/>
    <w:p w:rsidR="00ED0C90" w:rsidRDefault="00216728" w:rsidP="00ED0C90">
      <w:r w:rsidRPr="00ED0C90">
        <w:rPr>
          <w:b/>
        </w:rPr>
        <w:t>Reg.č.:</w:t>
      </w:r>
      <w:r>
        <w:t xml:space="preserve"> </w:t>
      </w:r>
      <w:r>
        <w:tab/>
      </w:r>
      <w:r>
        <w:tab/>
      </w:r>
      <w:r w:rsidRPr="00BF2978">
        <w:rPr>
          <w:b/>
        </w:rPr>
        <w:t>14-30898P</w:t>
      </w:r>
    </w:p>
    <w:p w:rsidR="00ED0C90" w:rsidRDefault="00216728" w:rsidP="00ED0C90">
      <w:pPr>
        <w:ind w:left="2127" w:hanging="2127"/>
      </w:pPr>
      <w:r w:rsidRPr="00ED0C90">
        <w:rPr>
          <w:b/>
        </w:rPr>
        <w:t>Název:</w:t>
      </w:r>
      <w:r w:rsidRPr="00ED0C90">
        <w:rPr>
          <w:b/>
        </w:rPr>
        <w:tab/>
        <w:t>Výzkum katalytické aktivity nových isomorfně substituovaných mikroporéz</w:t>
      </w:r>
      <w:r w:rsidRPr="00ED0C90">
        <w:rPr>
          <w:b/>
        </w:rPr>
        <w:t>ních germanosilikátů</w:t>
      </w:r>
    </w:p>
    <w:p w:rsidR="00ED0C90" w:rsidRDefault="00216728" w:rsidP="00ED0C90">
      <w:r w:rsidRPr="00ED0C90">
        <w:rPr>
          <w:b/>
        </w:rPr>
        <w:t>Řešitel:</w:t>
      </w:r>
      <w:r>
        <w:tab/>
      </w:r>
      <w:r>
        <w:tab/>
        <w:t>Mgr. Mariya Shamzhy, Ph.D.</w:t>
      </w:r>
    </w:p>
    <w:p w:rsidR="00ED0C90" w:rsidRDefault="00216728" w:rsidP="00ED0C90">
      <w:r w:rsidRPr="00ED0C90">
        <w:rPr>
          <w:b/>
        </w:rPr>
        <w:t>Příjemce:</w:t>
      </w:r>
      <w:r>
        <w:tab/>
      </w:r>
      <w:r>
        <w:tab/>
        <w:t>Ústav fyzikální chemie J. Heyrovského AV ČR, v.v.i.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Abstrakt:</w:t>
      </w:r>
      <w:r w:rsidRPr="00ED0C90">
        <w:rPr>
          <w:b/>
        </w:rPr>
        <w:tab/>
      </w:r>
    </w:p>
    <w:p w:rsidR="00ED0C90" w:rsidRDefault="00216728" w:rsidP="00ED0C90">
      <w:r>
        <w:t>Vzhledem k vynikajícím texturním a chemickým vlastnostem, zeolity přitahují značnou pozornost jak z hlediska základního výzk</w:t>
      </w:r>
      <w:r>
        <w:t>umu, tak i v jejich využití v mnoha průmyslových procesech. V poslední době byla syntetizována řada nových zeolitů (ITH, ITR, IWR) ve formě germanokřemičitanů, kdy vznik nových strukturních typů zeolitů je řízen přítomností germania. Izomorfní zavedení růz</w:t>
      </w:r>
      <w:r>
        <w:t>ných trojmocných prvků do struktury zeolitů umožňuje řídit kyselost zeolitů, která je klíčovým faktorem jejich katalytické chování. Systematické zkoumání vztahů mezi chemickým složením a vlastnostmi kyselých forem nových germanokřemičitanových zeolitů ve v</w:t>
      </w:r>
      <w:r>
        <w:t>ztahu k jejich katalytickým vlastnostem nebylo dosud provedeno. Z tohoto důvodu, je tento projekt zaměřen na pochopení základních faktorů ovlivňujících zabudování třímocných kationtů do struktury zeolitů, charakterizace vzniklých kyselých center a jejich v</w:t>
      </w:r>
      <w:r>
        <w:t>yužití v kysele katalyzovaných reakcích (alkylace aromatických sloučenin alkoholy, acylace aromatických sloučenin acyl chloridy, Beckmann reakce).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Zdůvodnění expertního a poradního orgánu:</w:t>
      </w:r>
    </w:p>
    <w:p w:rsidR="00ED0C90" w:rsidRDefault="00216728" w:rsidP="00ED0C90">
      <w:r>
        <w:t>Řešení tohoto postdoktorského grantu přineslo původní významné výsl</w:t>
      </w:r>
      <w:r>
        <w:t>edky posunující současný stav poznání v oblasti s velkým aplikačním potenciálem. Výsledky jsou doloženy velkým množstvím vysoce kvalitních publikací ve špičkových impaktovaných časopisech. V</w:t>
      </w:r>
      <w:r w:rsidR="005A29A0">
        <w:t> </w:t>
      </w:r>
      <w:r>
        <w:t>příslušné oblasti výzkumu jsou publikované výsledky z hlediska ro</w:t>
      </w:r>
      <w:r>
        <w:t>zsahu, kvality a</w:t>
      </w:r>
      <w:r w:rsidR="005A29A0">
        <w:t> </w:t>
      </w:r>
      <w:r>
        <w:t>potenciálního ohlasu vynikající a výrazně zasáhnou do vývoje oboru, a to zejména v</w:t>
      </w:r>
      <w:r w:rsidR="005A29A0">
        <w:t> </w:t>
      </w:r>
      <w:r>
        <w:t>mezinárodním kontextu. Je třeba vyzdvihnout také skutečnost, že takto kvalitních výsledků bylo dosaženo mladou vědkyní na počátku své vědecké kariéry, která</w:t>
      </w:r>
      <w:r>
        <w:t xml:space="preserve"> v průběhu řešení projektu prokázala vysokou vědeckou erudici a nezávislost (5 ze 7 publikací je prvoautorských, 3 zcela bez školitele jako spoluautora). Rovněž hospodaření se svěřenými finančními prostředky bylo naprosto bez závad.</w:t>
      </w:r>
    </w:p>
    <w:p w:rsidR="00ED0C90" w:rsidRDefault="00ED0C90" w:rsidP="00ED0C90"/>
    <w:p w:rsidR="00ED0C90" w:rsidRDefault="00216728" w:rsidP="00ED0C90">
      <w:r w:rsidRPr="00ED0C90">
        <w:rPr>
          <w:b/>
        </w:rPr>
        <w:t>Reg.č.:</w:t>
      </w:r>
      <w:r>
        <w:t xml:space="preserve"> </w:t>
      </w:r>
      <w:r>
        <w:tab/>
      </w:r>
      <w:r>
        <w:tab/>
      </w:r>
      <w:r w:rsidRPr="00ED0C90">
        <w:rPr>
          <w:b/>
        </w:rPr>
        <w:t>P407/12/P152</w:t>
      </w:r>
    </w:p>
    <w:p w:rsidR="00ED0C90" w:rsidRDefault="00216728" w:rsidP="00ED0C90">
      <w:r w:rsidRPr="00ED0C90">
        <w:rPr>
          <w:b/>
        </w:rPr>
        <w:t>Název:</w:t>
      </w:r>
      <w:r w:rsidRPr="00ED0C90">
        <w:rPr>
          <w:b/>
        </w:rPr>
        <w:tab/>
      </w:r>
      <w:r>
        <w:tab/>
      </w:r>
      <w:r w:rsidRPr="00ED0C90">
        <w:rPr>
          <w:b/>
        </w:rPr>
        <w:t>Vzdělávací efekty výukových simulací</w:t>
      </w:r>
    </w:p>
    <w:p w:rsidR="00ED0C90" w:rsidRDefault="00216728" w:rsidP="00ED0C90">
      <w:r w:rsidRPr="00ED0C90">
        <w:rPr>
          <w:b/>
        </w:rPr>
        <w:t>Řešitel:</w:t>
      </w:r>
      <w:r>
        <w:tab/>
      </w:r>
      <w:r>
        <w:tab/>
        <w:t>Mgr. Cyril Brom, Ph.D.</w:t>
      </w:r>
    </w:p>
    <w:p w:rsidR="00ED0C90" w:rsidRDefault="00216728" w:rsidP="00ED0C90">
      <w:r w:rsidRPr="00ED0C90">
        <w:rPr>
          <w:b/>
        </w:rPr>
        <w:t>Příjemce:</w:t>
      </w:r>
      <w:r>
        <w:tab/>
      </w:r>
      <w:r>
        <w:tab/>
        <w:t>Univerzita Karlova v Praze (Matematicko-fyzikální fakulta)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Abstrakt:</w:t>
      </w:r>
    </w:p>
    <w:p w:rsidR="00ED0C90" w:rsidRDefault="00216728" w:rsidP="00ED0C90">
      <w:r>
        <w:t xml:space="preserve">Výukové simulace (VS) jsou počítačové programy simulující pro potřeby výuky komplexní procesy a </w:t>
      </w:r>
      <w:r>
        <w:t>jevy, jež lze jen obtížně studovat jiným způsobem. Výzkumy naznačují, že VS motivují studenty zajímat se o jinak obtížně vysvětlitelnou či nezáživnou látku. Komparativních studií zhodnocujících reálný přínos VS pro výuku je však málo. Navíc existující stud</w:t>
      </w:r>
      <w:r>
        <w:t>ie vesměs evaluují jednu konkrétní VS. Solidní teoretický aparát, který by pomáhal vysvětlit, jak a proč obecně VS fungují, chybí. V tomto projektu postulujeme, že studenti si během interakce s VS vytváří mentální model jevu, který VS simuluje, lépe než bě</w:t>
      </w:r>
      <w:r>
        <w:t>hem klasické výuky a že k tomu dochází díky aktivní participaci studentů a jejich zvýšené motivaci. Cílem projektu je tuto hypotézu vyhodnotit a na teoretické úrovni náš postulát explikovat jako rozšíření Mayerovy teorie tvorby multimediálních materiálů. P</w:t>
      </w:r>
      <w:r>
        <w:t>rovedeme longitudinální komparativní studii na více než 1000 studentech SŠ pomocí 3 různých VS a použijeme široké spektrum kvalitativních a</w:t>
      </w:r>
      <w:r w:rsidR="005A29A0">
        <w:t> </w:t>
      </w:r>
      <w:r>
        <w:t>kvantitativních metrik, včetně měření hladiny kortizolu ve slinách.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Zdůvodnění expertního a poradního orgánu:</w:t>
      </w:r>
    </w:p>
    <w:p w:rsidR="00ED0C90" w:rsidRDefault="00216728" w:rsidP="00ED0C90">
      <w:r>
        <w:t>Projek</w:t>
      </w:r>
      <w:r>
        <w:t>t rozšiřuje základní poznání o efektivitě výukových simulací a dokládá (v rámci experimentálního šetření) přínos těchto simulací na schopnost studentů formovat mentální modely komplexních jevů (oproti klasické výuce). Projekt lze považovat za ojedinělý, ne</w:t>
      </w:r>
      <w:r>
        <w:t>boť se zabývá tématem, které není u nás ani v zahraničí příliš zkoumáno a přináší řadu nových poznatků, které dosud nebyly podobným způsobem ověřeny. Výzkum je realizován poměrně náročným způsobem, tedy formou experimentálních šetření s více než 1000 respo</w:t>
      </w:r>
      <w:r>
        <w:t>ndenty. Výzkum je založen na kombinaci řady kvantitativních nástrojů (používaných v pedagogice a</w:t>
      </w:r>
      <w:r w:rsidR="005A29A0">
        <w:t> </w:t>
      </w:r>
      <w:r>
        <w:t>psychologii) včetně analýzu hladiny kortizolu ve slinách (ukazuje, že tato metoda je v</w:t>
      </w:r>
      <w:r w:rsidR="005A29A0">
        <w:t> </w:t>
      </w:r>
      <w:r>
        <w:t>kontextu efektivity počítačových simulací dobře použitelná v kombinaci s</w:t>
      </w:r>
      <w:r>
        <w:t xml:space="preserve"> dalšími metrikami). Jedná se o první větší studii na toto téma ve světě. V průběhu řešení projektu vznikly počítačové výukové simulace, které byly aplikovány v pedagogické praxi. Projekt má nejen výzkumný, ale také aplikační rozměr. Výsledky jsou ojediněl</w:t>
      </w:r>
      <w:r>
        <w:t>é v mezinárodním srovnání, což dokládá řada publikačních výstupů v prestižních časopisech. I přes to, že se jedná o</w:t>
      </w:r>
      <w:r w:rsidR="005A29A0">
        <w:t> </w:t>
      </w:r>
      <w:r>
        <w:t>postdoktorský projekt, řešitel prokázal nejen samostatný, ale i tvůrčí a inovativní přístup k</w:t>
      </w:r>
      <w:r w:rsidR="005A29A0">
        <w:t> </w:t>
      </w:r>
      <w:r>
        <w:t>řešení projektu. Výsledky projektu lze považov</w:t>
      </w:r>
      <w:r>
        <w:t>at za excelentní a ojedinělé v daném oboru.</w:t>
      </w:r>
    </w:p>
    <w:p w:rsidR="00BF2978" w:rsidRDefault="00BF2978" w:rsidP="00ED0C90">
      <w:pPr>
        <w:rPr>
          <w:b/>
        </w:rPr>
      </w:pPr>
    </w:p>
    <w:p w:rsidR="00ED0C90" w:rsidRDefault="00216728" w:rsidP="00ED0C90">
      <w:r w:rsidRPr="00ED0C90">
        <w:rPr>
          <w:b/>
        </w:rPr>
        <w:t>Reg.č.:</w:t>
      </w:r>
      <w:r w:rsidRPr="00ED0C90">
        <w:rPr>
          <w:b/>
        </w:rPr>
        <w:tab/>
      </w:r>
      <w:r>
        <w:tab/>
      </w:r>
      <w:r w:rsidRPr="00ED0C90">
        <w:rPr>
          <w:b/>
        </w:rPr>
        <w:t>P408/12/P617</w:t>
      </w:r>
    </w:p>
    <w:p w:rsidR="00ED0C90" w:rsidRDefault="00216728" w:rsidP="00ED0C90">
      <w:r w:rsidRPr="00ED0C90">
        <w:rPr>
          <w:b/>
        </w:rPr>
        <w:t>Název:</w:t>
      </w:r>
      <w:r w:rsidRPr="00ED0C90">
        <w:rPr>
          <w:b/>
        </w:rPr>
        <w:tab/>
      </w:r>
      <w:r>
        <w:tab/>
      </w:r>
      <w:r w:rsidRPr="00ED0C90">
        <w:rPr>
          <w:b/>
        </w:rPr>
        <w:t>Jaderná renesance a nové atomové právo v České republice</w:t>
      </w:r>
    </w:p>
    <w:p w:rsidR="00ED0C90" w:rsidRDefault="00216728" w:rsidP="00ED0C90">
      <w:r w:rsidRPr="00ED0C90">
        <w:rPr>
          <w:b/>
        </w:rPr>
        <w:t>Řešitel:</w:t>
      </w:r>
      <w:r>
        <w:tab/>
      </w:r>
      <w:r>
        <w:tab/>
        <w:t>doc. JUDr. Jakub Handrlica, Ph.D.</w:t>
      </w:r>
    </w:p>
    <w:p w:rsidR="00ED0C90" w:rsidRDefault="00216728" w:rsidP="00ED0C90">
      <w:r w:rsidRPr="00ED0C90">
        <w:rPr>
          <w:b/>
        </w:rPr>
        <w:t>Příjemce:</w:t>
      </w:r>
      <w:r>
        <w:tab/>
      </w:r>
      <w:r>
        <w:tab/>
        <w:t>Univerzita Karlova v Praze (Právnická fakulta)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Abstrakt:</w:t>
      </w:r>
    </w:p>
    <w:p w:rsidR="00ED0C90" w:rsidRDefault="00216728" w:rsidP="00ED0C90">
      <w:r>
        <w:t>Česká republ</w:t>
      </w:r>
      <w:r>
        <w:t>ika patří mezi ty evropské státy, které i do budoucna počítají s rozvojem jaderné energetiky a s další výstavbou jaderných elektráren na svém území. Česká republika dále disponuje dostatečným technickým a odborným know-how v jaderné oblasti, které může v</w:t>
      </w:r>
      <w:r w:rsidR="005A29A0">
        <w:t> </w:t>
      </w:r>
      <w:r>
        <w:t>b</w:t>
      </w:r>
      <w:r>
        <w:t>udoucnu využít také v zahraničí. Tento budoucí rozvoj české jaderné energetiky předpokládá, že český právní řád vytvoří transparentní právní prostředí, které bude řešit všechny výzvy spojené s jadernou renesancí a současně bude respektovat požadavky, plyno</w:t>
      </w:r>
      <w:r>
        <w:t>ucí z evropského komunitárního a mezinárodního práva. Projekt si dává za cíl analyzovat stávající problémy české legislativy v následujících oblastech: vyhledání a zřízení hlubinného úložiště radioaktivních odpadů, povolovací procesy ve vztahu k novým jade</w:t>
      </w:r>
      <w:r>
        <w:t>rným zařízením, zabezpečení bezpečnosti zásobování jadernými materiály, postavení státu v jaderném průmyslu a prosazování jeho strategických zájmů, odpovědnost za jaderné škody a jejich kompenzace. Cílem projektu je poskytnout možná řešení stávajících defi</w:t>
      </w:r>
      <w:r>
        <w:t>citů s ohledem na zkušenosti ze zahraničí.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Zdůvodnění expertního a poradního orgánu:</w:t>
      </w:r>
    </w:p>
    <w:p w:rsidR="00ED0C90" w:rsidRDefault="00216728" w:rsidP="00ED0C90">
      <w:r>
        <w:t>Projekt přináší nové poznatky z oboru jaderného práva a současně bylo publikováno velké množství kvalitních publikací.</w:t>
      </w:r>
    </w:p>
    <w:p w:rsidR="00ED0C90" w:rsidRDefault="00ED0C90" w:rsidP="00ED0C90"/>
    <w:p w:rsidR="00ED0C90" w:rsidRDefault="00216728" w:rsidP="00ED0C90">
      <w:r w:rsidRPr="00BF2978">
        <w:rPr>
          <w:b/>
        </w:rPr>
        <w:t>Reg.č.:</w:t>
      </w:r>
      <w:r>
        <w:t xml:space="preserve"> </w:t>
      </w:r>
      <w:r>
        <w:tab/>
      </w:r>
      <w:r>
        <w:tab/>
      </w:r>
      <w:r w:rsidRPr="00ED0C90">
        <w:rPr>
          <w:b/>
        </w:rPr>
        <w:t>P506/12/P096</w:t>
      </w:r>
    </w:p>
    <w:p w:rsidR="00ED0C90" w:rsidRPr="00ED0C90" w:rsidRDefault="00216728" w:rsidP="00ED0C90">
      <w:pPr>
        <w:ind w:left="2127" w:hanging="2127"/>
        <w:rPr>
          <w:b/>
        </w:rPr>
      </w:pPr>
      <w:r w:rsidRPr="00ED0C90">
        <w:rPr>
          <w:b/>
        </w:rPr>
        <w:t>Název:</w:t>
      </w:r>
      <w:r w:rsidRPr="00ED0C90">
        <w:rPr>
          <w:b/>
        </w:rPr>
        <w:tab/>
        <w:t xml:space="preserve">Dávné přesuny z vody </w:t>
      </w:r>
      <w:r w:rsidRPr="00ED0C90">
        <w:rPr>
          <w:b/>
        </w:rPr>
        <w:t>na souš: fylogeneze a biogeografie gondwanských Sphaeridiinae (Coleoptera: Hydrophilidae)</w:t>
      </w:r>
    </w:p>
    <w:p w:rsidR="00ED0C90" w:rsidRDefault="00216728" w:rsidP="00ED0C90">
      <w:r w:rsidRPr="00ED0C90">
        <w:rPr>
          <w:b/>
        </w:rPr>
        <w:t>Řešitel:</w:t>
      </w:r>
      <w:r>
        <w:tab/>
      </w:r>
      <w:r>
        <w:tab/>
        <w:t>Mgr. Martin Fikáček, Ph.D.</w:t>
      </w:r>
    </w:p>
    <w:p w:rsidR="00ED0C90" w:rsidRDefault="00216728" w:rsidP="00ED0C90">
      <w:r w:rsidRPr="00ED0C90">
        <w:rPr>
          <w:b/>
        </w:rPr>
        <w:t>Příjemce:</w:t>
      </w:r>
      <w:r>
        <w:tab/>
      </w:r>
      <w:r>
        <w:tab/>
        <w:t>Univerzita Karlova v Praze (Přírodovědecká fakulta)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Abstrakt:</w:t>
      </w:r>
    </w:p>
    <w:p w:rsidR="00ED0C90" w:rsidRDefault="00216728" w:rsidP="00ED0C90">
      <w:r>
        <w:t>Podstatou navrhovaného projektu je zhodnocení efektu hab</w:t>
      </w:r>
      <w:r>
        <w:t>itatových přesunů z vodního prostředí na souš na evoluci brouků čeledi Hydrophilidae - projekt je proto zaměřen na její gondwanské podskupiny, které jsou dnes považovány za bazální v rámci terestrických vodomilů podčeledi Sphaeridiinae. Projekt zahrnuje ty</w:t>
      </w:r>
      <w:r>
        <w:t>to dílčí cíle: (1) získat zásadní mnohogenová molekulární data a detailní data o morfologii dospělců a larev podčeledi Sphaeridiinae s důrazem na její bazální skupiny; (2) objasnit pozici bazálních Sphaeridiinae v</w:t>
      </w:r>
      <w:r w:rsidR="005A29A0">
        <w:t> </w:t>
      </w:r>
      <w:r>
        <w:t>čeledi Hydrophilidae a analyzovat fylogene</w:t>
      </w:r>
      <w:r>
        <w:t>tické vztahy jednotlivých podskupin bazálních Sphaeridiinae na základě total evidence fylogenetické analýzy s použitím molekulárních a</w:t>
      </w:r>
      <w:r w:rsidR="005A29A0">
        <w:t> </w:t>
      </w:r>
      <w:r>
        <w:t>morfologických dat; (3) zhodnocení efektu habitatových přesunů a ekomorfologických změn na evoluci bazálních Sphaeridiina</w:t>
      </w:r>
      <w:r>
        <w:t>e a analýza historické biogeografie skupiny v globálním i</w:t>
      </w:r>
      <w:r w:rsidR="005A29A0">
        <w:t> </w:t>
      </w:r>
      <w:r>
        <w:t>lokálním měřítku.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Zdůvodnění expertního a poradního orgánu:</w:t>
      </w:r>
    </w:p>
    <w:p w:rsidR="00ED0C90" w:rsidRDefault="00216728" w:rsidP="00ED0C90">
      <w:r>
        <w:t>Nízkorozpočtový tříletý postdoktorandský projekt vedl k velmi zajímavým zjištěním taxonomického i obecně evolučního charakteru. Devět člán</w:t>
      </w:r>
      <w:r>
        <w:t>ků s IF a jeden další již přijatý svědčí o velké pracovitosti mladého vědce i o jeho schopnosti dotahovat myšlenky a závěry do konečné podoby. Řešitel je prvním autorem u šesti publikovaných článků. Týmové práce se účastnilo i několik studentů, kteří pokra</w:t>
      </w:r>
      <w:r>
        <w:t>čují v řešení dalších otázek, které vyvstaly v průběhu projektu. Byť jsou impaktní faktory některých článků nižší, projektový tým uspěl i v prestižních časopisech.  Dosažené výsledky je možno označit v kontextu postdoktorandských grantů za mimořádně kvalit</w:t>
      </w:r>
      <w:r>
        <w:t>ní. Z těchto příčin panel doporučuje udělit řešiteli Mgr. Martinovi Fikáčkovi, Ph.D., a jeho týmu Cenu předsedy Grantové agentury České republiky.</w:t>
      </w:r>
    </w:p>
    <w:p w:rsidR="00ED0C90" w:rsidRDefault="00ED0C90" w:rsidP="00ED0C90"/>
    <w:p w:rsidR="00ED0C90" w:rsidRDefault="00216728" w:rsidP="00ED0C90">
      <w:r w:rsidRPr="00ED0C90">
        <w:rPr>
          <w:b/>
        </w:rPr>
        <w:t>Reg.č.:</w:t>
      </w:r>
      <w:r>
        <w:t xml:space="preserve"> </w:t>
      </w:r>
      <w:r>
        <w:tab/>
      </w:r>
      <w:r>
        <w:tab/>
      </w:r>
      <w:r w:rsidRPr="00ED0C90">
        <w:rPr>
          <w:b/>
        </w:rPr>
        <w:t>P102/12/P505</w:t>
      </w:r>
    </w:p>
    <w:p w:rsidR="00ED0C90" w:rsidRDefault="00216728" w:rsidP="00ED0C90">
      <w:r w:rsidRPr="00ED0C90">
        <w:rPr>
          <w:b/>
        </w:rPr>
        <w:t>Název:</w:t>
      </w:r>
      <w:r w:rsidRPr="00ED0C90">
        <w:rPr>
          <w:b/>
        </w:rPr>
        <w:tab/>
      </w:r>
      <w:r>
        <w:tab/>
      </w:r>
      <w:r w:rsidRPr="00ED0C90">
        <w:rPr>
          <w:b/>
        </w:rPr>
        <w:t>Diodově čerpané laserové systémy s aktivním iontem Praseodymu</w:t>
      </w:r>
    </w:p>
    <w:p w:rsidR="00ED0C90" w:rsidRDefault="00216728" w:rsidP="00ED0C90">
      <w:r w:rsidRPr="00ED0C90">
        <w:rPr>
          <w:b/>
        </w:rPr>
        <w:t>Řešitel:</w:t>
      </w:r>
      <w:r>
        <w:tab/>
      </w:r>
      <w:r>
        <w:tab/>
      </w:r>
      <w:r>
        <w:t>Ing. Martin Fibrich, Ph.D.</w:t>
      </w:r>
      <w:r>
        <w:tab/>
      </w:r>
    </w:p>
    <w:p w:rsidR="00ED0C90" w:rsidRDefault="00216728" w:rsidP="00ED0C90">
      <w:pPr>
        <w:ind w:left="2127" w:hanging="2127"/>
      </w:pPr>
      <w:r w:rsidRPr="00ED0C90">
        <w:rPr>
          <w:b/>
        </w:rPr>
        <w:t>Příjemce:</w:t>
      </w:r>
      <w:r>
        <w:tab/>
        <w:t>České vysoké učení technické v Praze (Fakulta jaderná a fyzikálně inženýrská)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Abstrakt:</w:t>
      </w:r>
    </w:p>
    <w:p w:rsidR="00ED0C90" w:rsidRDefault="00216728" w:rsidP="00ED0C90">
      <w:r>
        <w:t xml:space="preserve">Podstatou výzkumu je návrh, realizace a charakterizace diodově čerpaných laserových systémů s aktivním prostředím dotovaným ionty </w:t>
      </w:r>
      <w:r>
        <w:t>Praseodymu a optimalizace jejich výstupních výkonových charakteristik v závislosti na různých matricích (oxidových a fluoridových) a</w:t>
      </w:r>
      <w:r w:rsidR="005A29A0">
        <w:t> </w:t>
      </w:r>
      <w:r>
        <w:t>čerpacích konfiguracích. Čerpání by bylo provedeno pomocí jedné nebo dvou GaN laserových diod - každá poskytující maximální</w:t>
      </w:r>
      <w:r>
        <w:t xml:space="preserve"> výstupní výkon 1W v modré spektrální oblasti. Použití oboustranného čerpání a tím navýšení čerpacího výkonu by mohlo zároveň vést k</w:t>
      </w:r>
      <w:r w:rsidR="005A29A0">
        <w:t> </w:t>
      </w:r>
      <w:r>
        <w:t>rozšíření spektra generovaných vlnových délek Pr-krystalů o ty vlnové délky, jejichž účinné průřezy pro emisi jsou relativn</w:t>
      </w:r>
      <w:r>
        <w:t>ě malé, a proto pro malé čerpací výkony nedosahují prahu generace. Součástí projektu bude i rozšíření generovaných vlnových délek využitím nelineárních jevů (generace druhé harmonické), prověření solarizace aktivního materiálu a</w:t>
      </w:r>
      <w:r w:rsidR="005A29A0">
        <w:t> </w:t>
      </w:r>
      <w:r>
        <w:t>určení optimálního uspořádá</w:t>
      </w:r>
      <w:r>
        <w:t>ní. Výsledkem projektu by měl být soubor nových vědeckých poznatků, které budou presentovány na mezinárodních konferencích a publikovány v</w:t>
      </w:r>
      <w:r w:rsidR="005A29A0">
        <w:t> </w:t>
      </w:r>
      <w:r>
        <w:t xml:space="preserve">časopisech. </w:t>
      </w:r>
    </w:p>
    <w:p w:rsidR="00ED0C90" w:rsidRPr="00ED0C90" w:rsidRDefault="00216728" w:rsidP="00ED0C90">
      <w:pPr>
        <w:rPr>
          <w:b/>
        </w:rPr>
      </w:pPr>
      <w:r w:rsidRPr="00ED0C90">
        <w:rPr>
          <w:b/>
        </w:rPr>
        <w:t>Zdůvodnění expertního a poradního orgánu:</w:t>
      </w:r>
    </w:p>
    <w:bookmarkEnd w:id="100"/>
    <w:p w:rsidR="002361ED" w:rsidRDefault="00216728" w:rsidP="002361ED">
      <w:r>
        <w:t>Cenu navrhujeme postdoktorandovi Ing. Martinovi Fibrichovi</w:t>
      </w:r>
      <w:r>
        <w:t>, PhD., který pracuje ve skupině pevnolátkových laserů na katedře fyzikální elektroniky FJFI ČVUT v Praze a v oddělení laserových systémů Extreme Light Infrastructure (ELI Beamlines) v Dolních Břežanech. U</w:t>
      </w:r>
      <w:r w:rsidR="005A29A0">
        <w:t> </w:t>
      </w:r>
      <w:r>
        <w:t>postoktorského projektu začínajícího výzkumného pr</w:t>
      </w:r>
      <w:r>
        <w:t xml:space="preserve">acovníka samozřejmě nelze očekávat vysoký počet prací. Spíše než kvantitu chceme ocenit: </w:t>
      </w:r>
    </w:p>
    <w:p w:rsidR="002361ED" w:rsidRDefault="00216728" w:rsidP="002361ED">
      <w:r>
        <w:t>1. Vysokou kvalitu prací, s ohledem na oborové zvyklosti již vysokou citovanost prací postdoktoranda (h-index 6), systematický přístup a zásadní podíl Martina Fibrich</w:t>
      </w:r>
      <w:r>
        <w:t>a na vzniku prací.</w:t>
      </w:r>
    </w:p>
    <w:p w:rsidR="002361ED" w:rsidRDefault="00216728" w:rsidP="002361ED">
      <w:r>
        <w:t>2. Novost a unikátnost výsledků, z nichž za nejpřínosnější lze považovat:</w:t>
      </w:r>
    </w:p>
    <w:p w:rsidR="002361ED" w:rsidRDefault="00216728" w:rsidP="002361ED">
      <w:r>
        <w:t>•</w:t>
      </w:r>
      <w:r>
        <w:tab/>
        <w:t>Dosažení laserové emise v zelené spektrální oblasti z krystalu Pr:YAP. Generace v</w:t>
      </w:r>
      <w:r w:rsidR="005A29A0">
        <w:t> </w:t>
      </w:r>
      <w:r>
        <w:t>zelené spektrální oblasti z tohoto materiálu nebyla dosud publikována a dle naš</w:t>
      </w:r>
      <w:r>
        <w:t>ich vědomostí se tak jednalo o první zeleně emitující Pr:YAP laserový systém na světě, čímž se „rodina“ pevnolátkových laserů „rozrostla“ o novou vlnovou délku (547 nm).</w:t>
      </w:r>
    </w:p>
    <w:p w:rsidR="002361ED" w:rsidRDefault="00216728" w:rsidP="002361ED">
      <w:r>
        <w:t>•</w:t>
      </w:r>
      <w:r>
        <w:tab/>
        <w:t>Realizace prvního diodově čerpaného oranžově emitujícího Pr:YAP laseru (622 nm).</w:t>
      </w:r>
    </w:p>
    <w:p w:rsidR="002361ED" w:rsidRDefault="00216728" w:rsidP="002361ED">
      <w:r>
        <w:t>•</w:t>
      </w:r>
      <w:r>
        <w:tab/>
        <w:t>S</w:t>
      </w:r>
      <w:r>
        <w:t>rovnání spektroskopických a laserových vlastností Pr:YAP materiálu za pokojové a</w:t>
      </w:r>
      <w:r w:rsidR="005A29A0">
        <w:t> </w:t>
      </w:r>
      <w:r>
        <w:t>kryogenní teploty.</w:t>
      </w:r>
    </w:p>
    <w:p w:rsidR="00ED0C90" w:rsidRDefault="00216728" w:rsidP="002361ED">
      <w:r>
        <w:t>•</w:t>
      </w:r>
      <w:r>
        <w:tab/>
        <w:t>Optimalizace Pr:YAP laserového systému v blízké infračervené oblasti s diferenciální účinností blížící se kvantovému limitu.</w:t>
      </w:r>
    </w:p>
    <w:p w:rsidR="00DA0ED3" w:rsidRDefault="00216728">
      <w:pPr>
        <w:jc w:val="left"/>
      </w:pPr>
      <w:r>
        <w:br w:type="page"/>
      </w:r>
    </w:p>
    <w:p w:rsidR="00ED0C90" w:rsidRPr="00ED0C90" w:rsidRDefault="00ED0C90" w:rsidP="00ED0C90"/>
    <w:p w:rsidR="00DE7900" w:rsidRPr="00D06063" w:rsidRDefault="00216728">
      <w:pPr>
        <w:pStyle w:val="Nadpis1"/>
        <w:numPr>
          <w:ilvl w:val="0"/>
          <w:numId w:val="8"/>
        </w:numPr>
        <w:rPr>
          <w:rFonts w:cs="Arial"/>
        </w:rPr>
      </w:pPr>
      <w:bookmarkStart w:id="105" w:name="_Toc256000014"/>
      <w:bookmarkStart w:id="106" w:name="_Toc14183933"/>
      <w:r w:rsidRPr="00D06063">
        <w:rPr>
          <w:rFonts w:cs="Arial"/>
        </w:rPr>
        <w:t>Závěr</w:t>
      </w:r>
      <w:bookmarkEnd w:id="105"/>
      <w:bookmarkEnd w:id="106"/>
    </w:p>
    <w:p w:rsidR="00BC1789" w:rsidRPr="00BC1789" w:rsidRDefault="00216728" w:rsidP="00975B1A">
      <w:r w:rsidRPr="00BC1789">
        <w:t xml:space="preserve">GA ČR zaujímá třetí </w:t>
      </w:r>
      <w:r w:rsidRPr="00BC1789">
        <w:t xml:space="preserve">místo </w:t>
      </w:r>
      <w:r w:rsidR="00474693">
        <w:t xml:space="preserve">rámci ČR </w:t>
      </w:r>
      <w:r w:rsidRPr="00BC1789">
        <w:t xml:space="preserve">v rozdělování výdajů státního rozpočtu na VaV. I přes to, že rozpočet GA ČR roste, podíl institucionálních prostředků v posledních letech klesá. </w:t>
      </w:r>
    </w:p>
    <w:p w:rsidR="00DE7900" w:rsidRPr="00D06063" w:rsidRDefault="00216728" w:rsidP="00975B1A">
      <w:r w:rsidRPr="00BC1789">
        <w:t>Úspěšnost juniorských grantů se v průběhu sledovaného období zvyš</w:t>
      </w:r>
      <w:r w:rsidR="00C04EB0">
        <w:t>ovala</w:t>
      </w:r>
      <w:r w:rsidRPr="00BC1789">
        <w:t>, v roce 2019 byla zaznam</w:t>
      </w:r>
      <w:r w:rsidRPr="00BC1789">
        <w:t>enána nejvyšší úspěšnost, která představovala více než 41,</w:t>
      </w:r>
      <w:r>
        <w:t xml:space="preserve">5 %. </w:t>
      </w:r>
      <w:r w:rsidR="0006538F">
        <w:t xml:space="preserve">V jednotlivých letech byla úspěšnost žen v soutěži téměř totožná s celkovou úspěšností GA ČR, při výběru udělených grantů </w:t>
      </w:r>
      <w:r w:rsidR="00FF2D5F">
        <w:t xml:space="preserve">tedy </w:t>
      </w:r>
      <w:r w:rsidR="0006538F">
        <w:t xml:space="preserve">nedochází k diskriminaci žen. </w:t>
      </w:r>
      <w:r>
        <w:t>Do roku 2019 bylo v </w:t>
      </w:r>
      <w:r w:rsidRPr="00BC1789">
        <w:t>rámci juniorskýc</w:t>
      </w:r>
      <w:r w:rsidRPr="00BC1789">
        <w:t xml:space="preserve">h grantů zaměstnáno celkem 1 728,6 přepočtených osob. Jeden z hlavních cílů, </w:t>
      </w:r>
      <w:r w:rsidR="00FF2D5F">
        <w:t xml:space="preserve">totiž </w:t>
      </w:r>
      <w:r w:rsidRPr="00BC1789">
        <w:t>vytvoření příležitosti pro excelentní mladé vědecké pracovníky s cílem vybudovat si nezávislou skupinu s několika spolupracovníky a moderním vybavením, které oživí současnou</w:t>
      </w:r>
      <w:r w:rsidRPr="00BC1789">
        <w:t xml:space="preserve"> strukturu základního výzkumu v ČR, byl splněn z více n</w:t>
      </w:r>
      <w:r w:rsidR="00871C73">
        <w:t>ež 40 %. Úspěšnost vědců z ČR v </w:t>
      </w:r>
      <w:r w:rsidR="0006538F">
        <w:t>soutěži o </w:t>
      </w:r>
      <w:r>
        <w:t xml:space="preserve">evropské </w:t>
      </w:r>
      <w:r w:rsidR="00FF2D5F">
        <w:t>granty</w:t>
      </w:r>
      <w:r>
        <w:t>, konkrétně v</w:t>
      </w:r>
      <w:r w:rsidR="00FF2D5F">
        <w:t>e skupině</w:t>
      </w:r>
      <w:r>
        <w:t> </w:t>
      </w:r>
      <w:r w:rsidRPr="00BC1789">
        <w:t xml:space="preserve">startovacích </w:t>
      </w:r>
      <w:r w:rsidR="00FF2D5F" w:rsidRPr="00BC1789">
        <w:t>grant</w:t>
      </w:r>
      <w:r w:rsidR="00FF2D5F">
        <w:t>ů</w:t>
      </w:r>
      <w:r w:rsidR="00FF2D5F" w:rsidRPr="00BC1789">
        <w:t xml:space="preserve"> </w:t>
      </w:r>
      <w:r w:rsidRPr="00BC1789">
        <w:t>(Start</w:t>
      </w:r>
      <w:r w:rsidR="0006538F">
        <w:t>ing Grants)</w:t>
      </w:r>
      <w:r w:rsidR="00FF2D5F">
        <w:t>,</w:t>
      </w:r>
      <w:r w:rsidR="0006538F">
        <w:t xml:space="preserve"> značně vzrostla. Od </w:t>
      </w:r>
      <w:r w:rsidRPr="00BC1789">
        <w:t xml:space="preserve">roku 2016 získala ČR celkem 8 </w:t>
      </w:r>
      <w:r w:rsidR="00871C73">
        <w:t>těchto grantů</w:t>
      </w:r>
      <w:r w:rsidRPr="00BC1789">
        <w:t>. Z p</w:t>
      </w:r>
      <w:r w:rsidR="00871C73">
        <w:t>ěti získaných Starting Grants v </w:t>
      </w:r>
      <w:r w:rsidRPr="00BC1789">
        <w:t xml:space="preserve">roce 2018 jsou čtyři </w:t>
      </w:r>
      <w:r w:rsidR="00474693">
        <w:t xml:space="preserve">jejich </w:t>
      </w:r>
      <w:r w:rsidRPr="00BC1789">
        <w:t xml:space="preserve">řešitelé </w:t>
      </w:r>
      <w:r w:rsidR="00474693">
        <w:t xml:space="preserve">současně řešiteli </w:t>
      </w:r>
      <w:r w:rsidRPr="00BC1789">
        <w:t>juniorských grantů GA ČR.</w:t>
      </w:r>
      <w:r w:rsidR="00984329" w:rsidRPr="00984329">
        <w:t xml:space="preserve"> V případě hodnocení ukončených </w:t>
      </w:r>
      <w:r w:rsidR="00984329">
        <w:t>juniorských grantů</w:t>
      </w:r>
      <w:r w:rsidR="00984329" w:rsidRPr="00984329">
        <w:t xml:space="preserve"> bylo </w:t>
      </w:r>
      <w:r w:rsidR="00984329">
        <w:t>7</w:t>
      </w:r>
      <w:r w:rsidR="00984329" w:rsidRPr="00984329">
        <w:t xml:space="preserve"> % hodnoceno jako nesplněno.</w:t>
      </w:r>
    </w:p>
    <w:p w:rsidR="00DE7900" w:rsidRPr="00D06063" w:rsidRDefault="00216728" w:rsidP="00894BB3">
      <w:pPr>
        <w:rPr>
          <w:noProof/>
        </w:rPr>
      </w:pPr>
      <w:r w:rsidRPr="00D06063">
        <w:t xml:space="preserve">Podpora vědců na začátku jejich vědecké kariéry poskytovaná Grantovou agenturou České republiky přináší zvýšenou kvalitu publikací oproti celostátnímu průměru. Z výše uvedeného též vyplývá, že juniorské granty nikterak nezaostávají ve srovnání s ostatními </w:t>
      </w:r>
      <w:r w:rsidRPr="00D06063">
        <w:t xml:space="preserve">skupinami grantových projektů podporovanými GA ČR. Vyšší kvalitu výstupů lze pozorovat na dvou indikátorech: vyšším </w:t>
      </w:r>
      <w:r w:rsidR="00F411AF" w:rsidRPr="00D06063">
        <w:t>podíl</w:t>
      </w:r>
      <w:r w:rsidR="00F411AF">
        <w:t>u</w:t>
      </w:r>
      <w:r w:rsidR="00F411AF" w:rsidRPr="00D06063">
        <w:t xml:space="preserve"> </w:t>
      </w:r>
      <w:r w:rsidRPr="00D06063">
        <w:t>článků v impaktovaných časopisech ze všech článků</w:t>
      </w:r>
      <w:r w:rsidR="00F411AF">
        <w:t>,</w:t>
      </w:r>
      <w:r w:rsidRPr="00D06063">
        <w:t xml:space="preserve"> a také </w:t>
      </w:r>
      <w:r w:rsidR="00F411AF">
        <w:t xml:space="preserve">na </w:t>
      </w:r>
      <w:r w:rsidRPr="00D06063">
        <w:t>zvýšení podílu počtu impaktovaných publikací v časopisech s vyšším impak</w:t>
      </w:r>
      <w:r w:rsidRPr="00D06063">
        <w:t>tním faktorem.</w:t>
      </w:r>
      <w:r w:rsidRPr="00D06063">
        <w:rPr>
          <w:noProof/>
        </w:rPr>
        <w:t xml:space="preserve"> </w:t>
      </w:r>
    </w:p>
    <w:p w:rsidR="00DE7900" w:rsidRPr="00D06063" w:rsidRDefault="00216728" w:rsidP="00894BB3">
      <w:r>
        <w:rPr>
          <w:noProof/>
        </w:rPr>
        <w:t>V</w:t>
      </w:r>
      <w:r w:rsidRPr="00D06063">
        <w:rPr>
          <w:noProof/>
        </w:rPr>
        <w:t xml:space="preserve">e srovnání s ostatními zahraničními agenturami poskytujícími obdobnou podporu </w:t>
      </w:r>
      <w:r>
        <w:rPr>
          <w:noProof/>
        </w:rPr>
        <w:t xml:space="preserve">se však ukazuje, že </w:t>
      </w:r>
      <w:r w:rsidRPr="00D06063">
        <w:rPr>
          <w:noProof/>
        </w:rPr>
        <w:t>juniorské granty</w:t>
      </w:r>
      <w:r w:rsidR="00D71E20">
        <w:rPr>
          <w:noProof/>
        </w:rPr>
        <w:t xml:space="preserve"> (</w:t>
      </w:r>
      <w:r w:rsidRPr="00D06063">
        <w:rPr>
          <w:noProof/>
        </w:rPr>
        <w:t xml:space="preserve">zejména vzhledem ke krátké době </w:t>
      </w:r>
      <w:r>
        <w:rPr>
          <w:noProof/>
        </w:rPr>
        <w:t xml:space="preserve">jejich </w:t>
      </w:r>
      <w:r w:rsidRPr="00D06063">
        <w:rPr>
          <w:noProof/>
        </w:rPr>
        <w:t>řešení</w:t>
      </w:r>
      <w:r w:rsidR="00D71E20">
        <w:rPr>
          <w:noProof/>
        </w:rPr>
        <w:t>)</w:t>
      </w:r>
      <w:r w:rsidRPr="00D06063">
        <w:rPr>
          <w:noProof/>
        </w:rPr>
        <w:t xml:space="preserve"> v dostatečné míře neumožňují plné osamostatnění a vytvoření </w:t>
      </w:r>
      <w:r w:rsidR="00E8114B" w:rsidRPr="00D06063">
        <w:rPr>
          <w:noProof/>
        </w:rPr>
        <w:t>nových stabilních</w:t>
      </w:r>
      <w:r w:rsidRPr="00D06063">
        <w:rPr>
          <w:noProof/>
        </w:rPr>
        <w:t xml:space="preserve"> vědeck</w:t>
      </w:r>
      <w:r w:rsidR="00E8114B" w:rsidRPr="00D06063">
        <w:rPr>
          <w:noProof/>
        </w:rPr>
        <w:t>ých</w:t>
      </w:r>
      <w:r w:rsidRPr="00D06063">
        <w:rPr>
          <w:noProof/>
        </w:rPr>
        <w:t xml:space="preserve"> </w:t>
      </w:r>
      <w:r w:rsidR="00E8114B" w:rsidRPr="00D06063">
        <w:rPr>
          <w:noProof/>
        </w:rPr>
        <w:t>týmů</w:t>
      </w:r>
      <w:r w:rsidRPr="00D06063">
        <w:rPr>
          <w:noProof/>
        </w:rPr>
        <w:t xml:space="preserve"> pod vedením mladého vědeckého pracovníka, a </w:t>
      </w:r>
      <w:r w:rsidR="005234E4">
        <w:rPr>
          <w:noProof/>
        </w:rPr>
        <w:t xml:space="preserve">že </w:t>
      </w:r>
      <w:r w:rsidRPr="00D06063">
        <w:rPr>
          <w:noProof/>
        </w:rPr>
        <w:t xml:space="preserve">rovněž v dostatečné míře nepodporují mezinárodní mobilitu. GA ČR proto při přípravě nové skupiny grantových projektů JUNIOR STAR vycházela ze </w:t>
      </w:r>
      <w:r w:rsidR="00741E94" w:rsidRPr="00D06063">
        <w:rPr>
          <w:noProof/>
        </w:rPr>
        <w:t>sc</w:t>
      </w:r>
      <w:r w:rsidR="00D71E20">
        <w:rPr>
          <w:noProof/>
        </w:rPr>
        <w:t>h</w:t>
      </w:r>
      <w:r w:rsidR="00741E94" w:rsidRPr="00D06063">
        <w:rPr>
          <w:noProof/>
        </w:rPr>
        <w:t>ématu grantů Evropské výzkumné rady (ERC) Starting Grants.</w:t>
      </w:r>
    </w:p>
    <w:p w:rsidR="00DE7900" w:rsidRPr="00D06063" w:rsidRDefault="00DE7900" w:rsidP="00310723">
      <w:pPr>
        <w:rPr>
          <w:rFonts w:cs="Arial"/>
        </w:rPr>
      </w:pPr>
    </w:p>
    <w:p w:rsidR="00DE7900" w:rsidRPr="00D06063" w:rsidRDefault="00DE7900" w:rsidP="00310723">
      <w:pPr>
        <w:rPr>
          <w:rFonts w:cs="Arial"/>
        </w:rPr>
      </w:pPr>
    </w:p>
    <w:sectPr w:rsidR="00DE7900" w:rsidRPr="00D06063" w:rsidSect="00CE6791">
      <w:footerReference w:type="default" r:id="rId4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728" w:rsidRDefault="00216728">
      <w:pPr>
        <w:spacing w:after="0" w:line="240" w:lineRule="auto"/>
      </w:pPr>
      <w:r>
        <w:separator/>
      </w:r>
    </w:p>
  </w:endnote>
  <w:endnote w:type="continuationSeparator" w:id="0">
    <w:p w:rsidR="00216728" w:rsidRDefault="00216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Normal">
    <w:altName w:val="Arial"/>
    <w:panose1 w:val="00000000000000000000"/>
    <w:charset w:val="00"/>
    <w:family w:val="modern"/>
    <w:notTrueType/>
    <w:pitch w:val="variable"/>
    <w:sig w:usb0="00000001" w:usb1="4000206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498633"/>
      <w:docPartObj>
        <w:docPartGallery w:val="Page Numbers (Bottom of Page)"/>
        <w:docPartUnique/>
      </w:docPartObj>
    </w:sdtPr>
    <w:sdtEndPr/>
    <w:sdtContent>
      <w:p w:rsidR="00D65C49" w:rsidRDefault="0021672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560">
          <w:rPr>
            <w:noProof/>
          </w:rPr>
          <w:t>2</w:t>
        </w:r>
        <w:r>
          <w:fldChar w:fldCharType="end"/>
        </w:r>
        <w:r>
          <w:t>/</w:t>
        </w:r>
        <w:r w:rsidR="003D506B">
          <w:t>38</w:t>
        </w:r>
      </w:p>
    </w:sdtContent>
  </w:sdt>
  <w:p w:rsidR="00D65C49" w:rsidRDefault="00D65C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728" w:rsidRDefault="00216728" w:rsidP="00786F0D">
      <w:pPr>
        <w:spacing w:after="0" w:line="240" w:lineRule="auto"/>
      </w:pPr>
      <w:r>
        <w:separator/>
      </w:r>
    </w:p>
  </w:footnote>
  <w:footnote w:type="continuationSeparator" w:id="0">
    <w:p w:rsidR="00216728" w:rsidRDefault="00216728" w:rsidP="00786F0D">
      <w:pPr>
        <w:spacing w:after="0" w:line="240" w:lineRule="auto"/>
      </w:pPr>
      <w:r>
        <w:continuationSeparator/>
      </w:r>
    </w:p>
  </w:footnote>
  <w:footnote w:id="1">
    <w:p w:rsidR="00D65C49" w:rsidRDefault="00216728" w:rsidP="007409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53F08">
        <w:t>Impaktovaný časopis je časopis obsažený v indexu Journal Citation Report [JCR]</w:t>
      </w:r>
      <w:r>
        <w:t>.</w:t>
      </w:r>
    </w:p>
  </w:footnote>
  <w:footnote w:id="2">
    <w:p w:rsidR="00D65C49" w:rsidRDefault="00216728" w:rsidP="00D5415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53F08">
        <w:t>Stav RIV na podzim 2018</w:t>
      </w:r>
      <w:r>
        <w:t>.</w:t>
      </w:r>
    </w:p>
  </w:footnote>
  <w:footnote w:id="3">
    <w:p w:rsidR="00D65C49" w:rsidRDefault="00216728" w:rsidP="00D54156">
      <w:pPr>
        <w:pStyle w:val="Textpoznpodarou"/>
      </w:pPr>
      <w:r>
        <w:rPr>
          <w:rStyle w:val="Znakapoznpodarou"/>
        </w:rPr>
        <w:footnoteRef/>
      </w:r>
      <w:r>
        <w:t xml:space="preserve"> Domácí tvůrci z institucí předkládajících výsledky do RIV se započítávají s dvojnásobnou vahou oproti ostatním autorům a každý výsledek se započte minimálně z 10 % [Met13, str. 9].</w:t>
      </w:r>
    </w:p>
  </w:footnote>
  <w:footnote w:id="4">
    <w:p w:rsidR="00D65C49" w:rsidRDefault="00216728" w:rsidP="007B40A2">
      <w:pPr>
        <w:pStyle w:val="Textpoznpodarou"/>
      </w:pPr>
      <w:r>
        <w:rPr>
          <w:rStyle w:val="Znakapoznpodarou"/>
        </w:rPr>
        <w:footnoteRef/>
      </w:r>
      <w:r>
        <w:t xml:space="preserve"> Článek publikovaný v periodiku, které bylo v daném roce v indexu JCR.</w:t>
      </w:r>
    </w:p>
  </w:footnote>
  <w:footnote w:id="5">
    <w:p w:rsidR="00D65C49" w:rsidRDefault="00216728" w:rsidP="007B40A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E72E2">
        <w:t>Druh výsledku J v RIV [ISVaV]</w:t>
      </w:r>
      <w:r>
        <w:t>.</w:t>
      </w:r>
    </w:p>
  </w:footnote>
  <w:footnote w:id="6">
    <w:p w:rsidR="00D65C49" w:rsidRDefault="00216728" w:rsidP="007E7AE1">
      <w:pPr>
        <w:pStyle w:val="Textpoznpodarou"/>
      </w:pPr>
      <w:r>
        <w:rPr>
          <w:rStyle w:val="Znakapoznpodarou"/>
        </w:rPr>
        <w:footnoteRef/>
      </w:r>
      <w:r>
        <w:t xml:space="preserve"> Pro časopisy zařazené ve více oborových kategoriích se uvažuje aritmetický průměr normovaných pořadí časopisu v jednotlivých kategoriích, toto se aplikuje i na následující indikátory.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56FB"/>
    <w:multiLevelType w:val="multilevel"/>
    <w:tmpl w:val="7BBEBCF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ordinal"/>
      <w:lvlText w:val="%21"/>
      <w:lvlJc w:val="left"/>
      <w:pPr>
        <w:ind w:left="907" w:firstLine="17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0C578F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F36537"/>
    <w:multiLevelType w:val="hybridMultilevel"/>
    <w:tmpl w:val="B4F222CC"/>
    <w:lvl w:ilvl="0" w:tplc="CFC2F1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A81DA8" w:tentative="1">
      <w:start w:val="1"/>
      <w:numFmt w:val="lowerLetter"/>
      <w:lvlText w:val="%2."/>
      <w:lvlJc w:val="left"/>
      <w:pPr>
        <w:ind w:left="1440" w:hanging="360"/>
      </w:pPr>
    </w:lvl>
    <w:lvl w:ilvl="2" w:tplc="20B66A20" w:tentative="1">
      <w:start w:val="1"/>
      <w:numFmt w:val="lowerRoman"/>
      <w:lvlText w:val="%3."/>
      <w:lvlJc w:val="right"/>
      <w:pPr>
        <w:ind w:left="2160" w:hanging="180"/>
      </w:pPr>
    </w:lvl>
    <w:lvl w:ilvl="3" w:tplc="ACE8B49C" w:tentative="1">
      <w:start w:val="1"/>
      <w:numFmt w:val="decimal"/>
      <w:lvlText w:val="%4."/>
      <w:lvlJc w:val="left"/>
      <w:pPr>
        <w:ind w:left="2880" w:hanging="360"/>
      </w:pPr>
    </w:lvl>
    <w:lvl w:ilvl="4" w:tplc="3D4294BE" w:tentative="1">
      <w:start w:val="1"/>
      <w:numFmt w:val="lowerLetter"/>
      <w:lvlText w:val="%5."/>
      <w:lvlJc w:val="left"/>
      <w:pPr>
        <w:ind w:left="3600" w:hanging="360"/>
      </w:pPr>
    </w:lvl>
    <w:lvl w:ilvl="5" w:tplc="A7560644" w:tentative="1">
      <w:start w:val="1"/>
      <w:numFmt w:val="lowerRoman"/>
      <w:lvlText w:val="%6."/>
      <w:lvlJc w:val="right"/>
      <w:pPr>
        <w:ind w:left="4320" w:hanging="180"/>
      </w:pPr>
    </w:lvl>
    <w:lvl w:ilvl="6" w:tplc="A27873CA" w:tentative="1">
      <w:start w:val="1"/>
      <w:numFmt w:val="decimal"/>
      <w:lvlText w:val="%7."/>
      <w:lvlJc w:val="left"/>
      <w:pPr>
        <w:ind w:left="5040" w:hanging="360"/>
      </w:pPr>
    </w:lvl>
    <w:lvl w:ilvl="7" w:tplc="9932B018" w:tentative="1">
      <w:start w:val="1"/>
      <w:numFmt w:val="lowerLetter"/>
      <w:lvlText w:val="%8."/>
      <w:lvlJc w:val="left"/>
      <w:pPr>
        <w:ind w:left="5760" w:hanging="360"/>
      </w:pPr>
    </w:lvl>
    <w:lvl w:ilvl="8" w:tplc="302C95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B5356"/>
    <w:multiLevelType w:val="hybridMultilevel"/>
    <w:tmpl w:val="BCF23586"/>
    <w:lvl w:ilvl="0" w:tplc="61AA1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405D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64EB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60E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E4DE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FEC6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8836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568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7235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229F5"/>
    <w:multiLevelType w:val="hybridMultilevel"/>
    <w:tmpl w:val="B966F796"/>
    <w:lvl w:ilvl="0" w:tplc="794AA9A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F72A0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E8A4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580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7037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257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E41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022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22F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632CC"/>
    <w:multiLevelType w:val="multilevel"/>
    <w:tmpl w:val="141AA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0141B47"/>
    <w:multiLevelType w:val="multilevel"/>
    <w:tmpl w:val="141AA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1CF08F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6E47EDD"/>
    <w:multiLevelType w:val="multilevel"/>
    <w:tmpl w:val="41AA6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ordinal"/>
      <w:lvlText w:val="%21"/>
      <w:lvlJc w:val="left"/>
      <w:pPr>
        <w:ind w:left="907" w:firstLine="17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43F64CF"/>
    <w:multiLevelType w:val="hybridMultilevel"/>
    <w:tmpl w:val="DCDC761E"/>
    <w:lvl w:ilvl="0" w:tplc="BFE68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1E5130" w:tentative="1">
      <w:start w:val="1"/>
      <w:numFmt w:val="lowerLetter"/>
      <w:lvlText w:val="%2."/>
      <w:lvlJc w:val="left"/>
      <w:pPr>
        <w:ind w:left="1440" w:hanging="360"/>
      </w:pPr>
    </w:lvl>
    <w:lvl w:ilvl="2" w:tplc="2B42DD5A" w:tentative="1">
      <w:start w:val="1"/>
      <w:numFmt w:val="lowerRoman"/>
      <w:lvlText w:val="%3."/>
      <w:lvlJc w:val="right"/>
      <w:pPr>
        <w:ind w:left="2160" w:hanging="180"/>
      </w:pPr>
    </w:lvl>
    <w:lvl w:ilvl="3" w:tplc="785E0BB4" w:tentative="1">
      <w:start w:val="1"/>
      <w:numFmt w:val="decimal"/>
      <w:lvlText w:val="%4."/>
      <w:lvlJc w:val="left"/>
      <w:pPr>
        <w:ind w:left="2880" w:hanging="360"/>
      </w:pPr>
    </w:lvl>
    <w:lvl w:ilvl="4" w:tplc="7020F3B2" w:tentative="1">
      <w:start w:val="1"/>
      <w:numFmt w:val="lowerLetter"/>
      <w:lvlText w:val="%5."/>
      <w:lvlJc w:val="left"/>
      <w:pPr>
        <w:ind w:left="3600" w:hanging="360"/>
      </w:pPr>
    </w:lvl>
    <w:lvl w:ilvl="5" w:tplc="A9A822C4" w:tentative="1">
      <w:start w:val="1"/>
      <w:numFmt w:val="lowerRoman"/>
      <w:lvlText w:val="%6."/>
      <w:lvlJc w:val="right"/>
      <w:pPr>
        <w:ind w:left="4320" w:hanging="180"/>
      </w:pPr>
    </w:lvl>
    <w:lvl w:ilvl="6" w:tplc="0E6ED2E0" w:tentative="1">
      <w:start w:val="1"/>
      <w:numFmt w:val="decimal"/>
      <w:lvlText w:val="%7."/>
      <w:lvlJc w:val="left"/>
      <w:pPr>
        <w:ind w:left="5040" w:hanging="360"/>
      </w:pPr>
    </w:lvl>
    <w:lvl w:ilvl="7" w:tplc="681A3ABE" w:tentative="1">
      <w:start w:val="1"/>
      <w:numFmt w:val="lowerLetter"/>
      <w:lvlText w:val="%8."/>
      <w:lvlJc w:val="left"/>
      <w:pPr>
        <w:ind w:left="5760" w:hanging="360"/>
      </w:pPr>
    </w:lvl>
    <w:lvl w:ilvl="8" w:tplc="F612C0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EE4DEC"/>
    <w:multiLevelType w:val="multilevel"/>
    <w:tmpl w:val="4F2CB9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>
    <w:nsid w:val="4B3C79C9"/>
    <w:multiLevelType w:val="multilevel"/>
    <w:tmpl w:val="FF1A210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ordinal"/>
      <w:lvlText w:val="%21"/>
      <w:lvlJc w:val="left"/>
      <w:pPr>
        <w:ind w:left="907" w:firstLine="17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51352668"/>
    <w:multiLevelType w:val="multilevel"/>
    <w:tmpl w:val="CB90D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37D0877"/>
    <w:multiLevelType w:val="multilevel"/>
    <w:tmpl w:val="141AA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8F600DA"/>
    <w:multiLevelType w:val="multilevel"/>
    <w:tmpl w:val="FF1A210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ordinal"/>
      <w:lvlText w:val="%21"/>
      <w:lvlJc w:val="left"/>
      <w:pPr>
        <w:ind w:left="907" w:firstLine="17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78A1089E"/>
    <w:multiLevelType w:val="hybridMultilevel"/>
    <w:tmpl w:val="0C2E8D8E"/>
    <w:lvl w:ilvl="0" w:tplc="83C8075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A74D7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9092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C03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0EF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183F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ABC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C8F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8A50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5"/>
  </w:num>
  <w:num w:numId="5">
    <w:abstractNumId w:val="12"/>
  </w:num>
  <w:num w:numId="6">
    <w:abstractNumId w:val="9"/>
  </w:num>
  <w:num w:numId="7">
    <w:abstractNumId w:val="2"/>
  </w:num>
  <w:num w:numId="8">
    <w:abstractNumId w:val="8"/>
  </w:num>
  <w:num w:numId="9">
    <w:abstractNumId w:val="7"/>
  </w:num>
  <w:num w:numId="10">
    <w:abstractNumId w:val="1"/>
  </w:num>
  <w:num w:numId="11">
    <w:abstractNumId w:val="15"/>
  </w:num>
  <w:num w:numId="12">
    <w:abstractNumId w:val="3"/>
  </w:num>
  <w:num w:numId="13">
    <w:abstractNumId w:val="11"/>
  </w:num>
  <w:num w:numId="14">
    <w:abstractNumId w:val="14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0D"/>
    <w:rsid w:val="00000EAD"/>
    <w:rsid w:val="0006538F"/>
    <w:rsid w:val="00070B5A"/>
    <w:rsid w:val="000A0F32"/>
    <w:rsid w:val="000C3302"/>
    <w:rsid w:val="000E4591"/>
    <w:rsid w:val="000F3489"/>
    <w:rsid w:val="00100B0A"/>
    <w:rsid w:val="00111C9A"/>
    <w:rsid w:val="0014153F"/>
    <w:rsid w:val="00163307"/>
    <w:rsid w:val="00175E11"/>
    <w:rsid w:val="00182F23"/>
    <w:rsid w:val="001939FE"/>
    <w:rsid w:val="001A1D6F"/>
    <w:rsid w:val="001B477B"/>
    <w:rsid w:val="001C7372"/>
    <w:rsid w:val="001D3653"/>
    <w:rsid w:val="001E1389"/>
    <w:rsid w:val="001E72E2"/>
    <w:rsid w:val="001F291F"/>
    <w:rsid w:val="001F4E53"/>
    <w:rsid w:val="00211A72"/>
    <w:rsid w:val="00216728"/>
    <w:rsid w:val="0022498A"/>
    <w:rsid w:val="002361ED"/>
    <w:rsid w:val="002448B1"/>
    <w:rsid w:val="00247555"/>
    <w:rsid w:val="00257EA5"/>
    <w:rsid w:val="002614DE"/>
    <w:rsid w:val="00281AA2"/>
    <w:rsid w:val="002844A0"/>
    <w:rsid w:val="002A2011"/>
    <w:rsid w:val="002C3B7C"/>
    <w:rsid w:val="002E78EC"/>
    <w:rsid w:val="00310723"/>
    <w:rsid w:val="0031182D"/>
    <w:rsid w:val="00316386"/>
    <w:rsid w:val="003571A3"/>
    <w:rsid w:val="00362858"/>
    <w:rsid w:val="00385D1B"/>
    <w:rsid w:val="003B6102"/>
    <w:rsid w:val="003D506B"/>
    <w:rsid w:val="003E0B70"/>
    <w:rsid w:val="00412560"/>
    <w:rsid w:val="00414C65"/>
    <w:rsid w:val="0043728B"/>
    <w:rsid w:val="00437889"/>
    <w:rsid w:val="0044187B"/>
    <w:rsid w:val="00474693"/>
    <w:rsid w:val="004A2EA1"/>
    <w:rsid w:val="004B4B68"/>
    <w:rsid w:val="004C1106"/>
    <w:rsid w:val="004C3FF6"/>
    <w:rsid w:val="004C5293"/>
    <w:rsid w:val="004C7D87"/>
    <w:rsid w:val="004D05AE"/>
    <w:rsid w:val="004D3336"/>
    <w:rsid w:val="004E00CF"/>
    <w:rsid w:val="004F329C"/>
    <w:rsid w:val="005234E4"/>
    <w:rsid w:val="00535636"/>
    <w:rsid w:val="00542433"/>
    <w:rsid w:val="00553F08"/>
    <w:rsid w:val="005744F7"/>
    <w:rsid w:val="005A29A0"/>
    <w:rsid w:val="005B07AA"/>
    <w:rsid w:val="005D5FDF"/>
    <w:rsid w:val="00617058"/>
    <w:rsid w:val="006208C1"/>
    <w:rsid w:val="006476F6"/>
    <w:rsid w:val="00666D9E"/>
    <w:rsid w:val="00677C07"/>
    <w:rsid w:val="00695451"/>
    <w:rsid w:val="006B41BC"/>
    <w:rsid w:val="006C6134"/>
    <w:rsid w:val="007062FB"/>
    <w:rsid w:val="00715E37"/>
    <w:rsid w:val="00740954"/>
    <w:rsid w:val="00741E94"/>
    <w:rsid w:val="00742C11"/>
    <w:rsid w:val="0077656C"/>
    <w:rsid w:val="00776770"/>
    <w:rsid w:val="00786F0D"/>
    <w:rsid w:val="007A0E34"/>
    <w:rsid w:val="007B0CD3"/>
    <w:rsid w:val="007B40A2"/>
    <w:rsid w:val="007D3D1E"/>
    <w:rsid w:val="007E7AE1"/>
    <w:rsid w:val="007F05B8"/>
    <w:rsid w:val="00802B70"/>
    <w:rsid w:val="008155AB"/>
    <w:rsid w:val="00830230"/>
    <w:rsid w:val="00850153"/>
    <w:rsid w:val="00871C73"/>
    <w:rsid w:val="00885139"/>
    <w:rsid w:val="00894BB3"/>
    <w:rsid w:val="008B186C"/>
    <w:rsid w:val="008D4902"/>
    <w:rsid w:val="008E76B8"/>
    <w:rsid w:val="00917FEF"/>
    <w:rsid w:val="00921F35"/>
    <w:rsid w:val="00922B68"/>
    <w:rsid w:val="009352FA"/>
    <w:rsid w:val="00954EBB"/>
    <w:rsid w:val="009630EA"/>
    <w:rsid w:val="00975B1A"/>
    <w:rsid w:val="00984329"/>
    <w:rsid w:val="009B596F"/>
    <w:rsid w:val="009C28A3"/>
    <w:rsid w:val="009F6B97"/>
    <w:rsid w:val="00A33F0F"/>
    <w:rsid w:val="00A4288D"/>
    <w:rsid w:val="00A4568B"/>
    <w:rsid w:val="00A4596C"/>
    <w:rsid w:val="00A539B3"/>
    <w:rsid w:val="00A54DEF"/>
    <w:rsid w:val="00A5504F"/>
    <w:rsid w:val="00A76989"/>
    <w:rsid w:val="00A817D7"/>
    <w:rsid w:val="00A83893"/>
    <w:rsid w:val="00AA6B87"/>
    <w:rsid w:val="00AC325D"/>
    <w:rsid w:val="00AE368B"/>
    <w:rsid w:val="00AE6179"/>
    <w:rsid w:val="00B13410"/>
    <w:rsid w:val="00B164EC"/>
    <w:rsid w:val="00B174FE"/>
    <w:rsid w:val="00B432C3"/>
    <w:rsid w:val="00B43C28"/>
    <w:rsid w:val="00B70530"/>
    <w:rsid w:val="00B92580"/>
    <w:rsid w:val="00BC1789"/>
    <w:rsid w:val="00BF2596"/>
    <w:rsid w:val="00BF2978"/>
    <w:rsid w:val="00BF3195"/>
    <w:rsid w:val="00C04EB0"/>
    <w:rsid w:val="00C05CD8"/>
    <w:rsid w:val="00C158E5"/>
    <w:rsid w:val="00C36ACB"/>
    <w:rsid w:val="00C516A8"/>
    <w:rsid w:val="00C5578C"/>
    <w:rsid w:val="00C74A46"/>
    <w:rsid w:val="00CA0F1B"/>
    <w:rsid w:val="00CC0138"/>
    <w:rsid w:val="00CC3225"/>
    <w:rsid w:val="00CD0D75"/>
    <w:rsid w:val="00CE6791"/>
    <w:rsid w:val="00D04A0D"/>
    <w:rsid w:val="00D06063"/>
    <w:rsid w:val="00D22D7F"/>
    <w:rsid w:val="00D360C0"/>
    <w:rsid w:val="00D47961"/>
    <w:rsid w:val="00D54156"/>
    <w:rsid w:val="00D65C49"/>
    <w:rsid w:val="00D7090E"/>
    <w:rsid w:val="00D71E20"/>
    <w:rsid w:val="00D84914"/>
    <w:rsid w:val="00D95839"/>
    <w:rsid w:val="00DA0ED3"/>
    <w:rsid w:val="00DE7900"/>
    <w:rsid w:val="00E15E7F"/>
    <w:rsid w:val="00E244CF"/>
    <w:rsid w:val="00E54BAE"/>
    <w:rsid w:val="00E67FFC"/>
    <w:rsid w:val="00E75D66"/>
    <w:rsid w:val="00E8114B"/>
    <w:rsid w:val="00EA5E58"/>
    <w:rsid w:val="00EB1A45"/>
    <w:rsid w:val="00ED0C90"/>
    <w:rsid w:val="00F24EF8"/>
    <w:rsid w:val="00F411AF"/>
    <w:rsid w:val="00FA5982"/>
    <w:rsid w:val="00FA67FB"/>
    <w:rsid w:val="00FC4FDF"/>
    <w:rsid w:val="00FE0AAE"/>
    <w:rsid w:val="00FE76F7"/>
    <w:rsid w:val="00FF2679"/>
    <w:rsid w:val="00F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6063"/>
    <w:pPr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E7AE1"/>
    <w:pPr>
      <w:keepNext/>
      <w:keepLines/>
      <w:spacing w:before="120" w:after="240"/>
      <w:outlineLvl w:val="0"/>
    </w:pPr>
    <w:rPr>
      <w:rFonts w:eastAsiaTheme="majorEastAsia" w:cstheme="majorBidi"/>
      <w:b/>
      <w:color w:val="365F91" w:themeColor="accent1" w:themeShade="BF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7AE1"/>
    <w:pPr>
      <w:keepNext/>
      <w:keepLines/>
      <w:spacing w:before="120" w:after="120"/>
      <w:outlineLvl w:val="1"/>
    </w:pPr>
    <w:rPr>
      <w:rFonts w:eastAsiaTheme="majorEastAsia" w:cstheme="majorBidi"/>
      <w:b/>
      <w:color w:val="365F91" w:themeColor="accent1" w:themeShade="BF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E7AE1"/>
    <w:pPr>
      <w:keepNext/>
      <w:keepLines/>
      <w:spacing w:before="40" w:after="0"/>
      <w:outlineLvl w:val="2"/>
    </w:pPr>
    <w:rPr>
      <w:rFonts w:eastAsiaTheme="majorEastAsia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6F0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6F0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786F0D"/>
    <w:rPr>
      <w:spacing w:val="0"/>
      <w:kern w:val="0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6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6F0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85D1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7E7AE1"/>
    <w:rPr>
      <w:rFonts w:ascii="Arial" w:eastAsiaTheme="majorEastAsia" w:hAnsi="Arial" w:cstheme="majorBidi"/>
      <w:b/>
      <w:color w:val="365F91" w:themeColor="accent1" w:themeShade="BF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E7AE1"/>
    <w:rPr>
      <w:rFonts w:ascii="Arial" w:eastAsiaTheme="majorEastAsia" w:hAnsi="Arial" w:cstheme="majorBidi"/>
      <w:b/>
      <w:color w:val="365F91" w:themeColor="accent1" w:themeShade="BF"/>
      <w:sz w:val="24"/>
      <w:szCs w:val="26"/>
    </w:rPr>
  </w:style>
  <w:style w:type="paragraph" w:styleId="Titulek">
    <w:name w:val="caption"/>
    <w:basedOn w:val="Normln"/>
    <w:next w:val="Normln"/>
    <w:unhideWhenUsed/>
    <w:qFormat/>
    <w:rsid w:val="003571A3"/>
    <w:pPr>
      <w:spacing w:line="240" w:lineRule="auto"/>
    </w:pPr>
    <w:rPr>
      <w:b/>
      <w:iCs/>
      <w:color w:val="244061" w:themeColor="accent1" w:themeShade="80"/>
      <w:szCs w:val="18"/>
    </w:rPr>
  </w:style>
  <w:style w:type="paragraph" w:customStyle="1" w:styleId="Poznmka">
    <w:name w:val="Poznámka"/>
    <w:basedOn w:val="Normln"/>
    <w:link w:val="PoznmkaChar"/>
    <w:autoRedefine/>
    <w:qFormat/>
    <w:rsid w:val="007E7AE1"/>
    <w:pPr>
      <w:spacing w:after="0" w:line="271" w:lineRule="auto"/>
    </w:pPr>
    <w:rPr>
      <w:rFonts w:eastAsiaTheme="minorEastAsia" w:cs="MetaPro-Normal"/>
      <w:i/>
      <w:color w:val="A6A6A6" w:themeColor="background1" w:themeShade="A6"/>
      <w:sz w:val="16"/>
      <w:szCs w:val="24"/>
      <w:lang w:eastAsia="cs-CZ" w:bidi="en-US"/>
    </w:rPr>
  </w:style>
  <w:style w:type="character" w:customStyle="1" w:styleId="PoznmkaChar">
    <w:name w:val="Poznámka Char"/>
    <w:basedOn w:val="Standardnpsmoodstavce"/>
    <w:link w:val="Poznmka"/>
    <w:rsid w:val="007E7AE1"/>
    <w:rPr>
      <w:rFonts w:ascii="Arial" w:eastAsiaTheme="minorEastAsia" w:hAnsi="Arial" w:cs="MetaPro-Normal"/>
      <w:i/>
      <w:color w:val="A6A6A6" w:themeColor="background1" w:themeShade="A6"/>
      <w:sz w:val="16"/>
      <w:szCs w:val="24"/>
      <w:lang w:eastAsia="cs-CZ" w:bidi="en-US"/>
    </w:rPr>
  </w:style>
  <w:style w:type="paragraph" w:customStyle="1" w:styleId="podobr">
    <w:name w:val="pod obr."/>
    <w:basedOn w:val="Normln"/>
    <w:link w:val="podobrChar"/>
    <w:qFormat/>
    <w:rsid w:val="008155AB"/>
    <w:pPr>
      <w:spacing w:before="120" w:after="0" w:line="271" w:lineRule="auto"/>
    </w:pPr>
    <w:rPr>
      <w:rFonts w:eastAsia="Times New Roman" w:cstheme="minorHAnsi"/>
      <w:i/>
      <w:color w:val="1F497D" w:themeColor="text2"/>
      <w:sz w:val="20"/>
      <w:szCs w:val="24"/>
      <w:lang w:eastAsia="cs-CZ"/>
    </w:rPr>
  </w:style>
  <w:style w:type="character" w:customStyle="1" w:styleId="podobrChar">
    <w:name w:val="pod obr. Char"/>
    <w:basedOn w:val="Standardnpsmoodstavce"/>
    <w:link w:val="podobr"/>
    <w:rsid w:val="008155AB"/>
    <w:rPr>
      <w:rFonts w:eastAsia="Times New Roman" w:cstheme="minorHAnsi"/>
      <w:i/>
      <w:color w:val="1F497D" w:themeColor="text2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409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09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0954"/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7E7AE1"/>
    <w:pPr>
      <w:spacing w:before="240" w:after="120" w:line="259" w:lineRule="auto"/>
      <w:jc w:val="left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C0138"/>
    <w:pPr>
      <w:tabs>
        <w:tab w:val="left" w:pos="440"/>
        <w:tab w:val="right" w:leader="dot" w:pos="9062"/>
      </w:tabs>
      <w:spacing w:before="360" w:after="240"/>
    </w:pPr>
  </w:style>
  <w:style w:type="paragraph" w:styleId="Obsah2">
    <w:name w:val="toc 2"/>
    <w:basedOn w:val="Normln"/>
    <w:next w:val="Normln"/>
    <w:autoRedefine/>
    <w:uiPriority w:val="39"/>
    <w:unhideWhenUsed/>
    <w:rsid w:val="00CC0138"/>
    <w:pPr>
      <w:tabs>
        <w:tab w:val="right" w:leader="dot" w:pos="9062"/>
      </w:tabs>
      <w:spacing w:after="240"/>
      <w:ind w:left="221" w:firstLine="437"/>
      <w:jc w:val="left"/>
    </w:pPr>
  </w:style>
  <w:style w:type="character" w:styleId="Hypertextovodkaz">
    <w:name w:val="Hyperlink"/>
    <w:basedOn w:val="Standardnpsmoodstavce"/>
    <w:uiPriority w:val="99"/>
    <w:unhideWhenUsed/>
    <w:rsid w:val="007B40A2"/>
    <w:rPr>
      <w:color w:val="0000FF" w:themeColor="hyperlink"/>
      <w:u w:val="single"/>
    </w:rPr>
  </w:style>
  <w:style w:type="paragraph" w:styleId="Seznamobrzk">
    <w:name w:val="table of figures"/>
    <w:basedOn w:val="Normln"/>
    <w:next w:val="Normln"/>
    <w:uiPriority w:val="99"/>
    <w:unhideWhenUsed/>
    <w:rsid w:val="007B40A2"/>
    <w:pPr>
      <w:spacing w:after="0"/>
    </w:pPr>
  </w:style>
  <w:style w:type="paragraph" w:styleId="Bezmezer">
    <w:name w:val="No Spacing"/>
    <w:uiPriority w:val="1"/>
    <w:qFormat/>
    <w:rsid w:val="007E7AE1"/>
    <w:pPr>
      <w:spacing w:after="0" w:line="240" w:lineRule="auto"/>
      <w:jc w:val="both"/>
    </w:pPr>
    <w:rPr>
      <w:rFonts w:ascii="Arial" w:hAnsi="Aria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E7AE1"/>
    <w:rPr>
      <w:rFonts w:ascii="Arial" w:eastAsiaTheme="majorEastAsia" w:hAnsi="Arial" w:cstheme="majorBidi"/>
      <w:color w:val="243F60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7E7AE1"/>
    <w:pPr>
      <w:spacing w:after="0" w:line="480" w:lineRule="auto"/>
      <w:contextualSpacing/>
      <w:jc w:val="center"/>
    </w:pPr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E7AE1"/>
    <w:rPr>
      <w:rFonts w:ascii="Arial" w:eastAsiaTheme="majorEastAsia" w:hAnsi="Arial" w:cstheme="majorBidi"/>
      <w:spacing w:val="-10"/>
      <w:kern w:val="28"/>
      <w:sz w:val="48"/>
      <w:szCs w:val="56"/>
    </w:rPr>
  </w:style>
  <w:style w:type="paragraph" w:styleId="Zhlav">
    <w:name w:val="header"/>
    <w:basedOn w:val="Normln"/>
    <w:link w:val="ZhlavChar"/>
    <w:uiPriority w:val="99"/>
    <w:unhideWhenUsed/>
    <w:rsid w:val="00CE6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6791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CE6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6791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1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138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6063"/>
    <w:pPr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E7AE1"/>
    <w:pPr>
      <w:keepNext/>
      <w:keepLines/>
      <w:spacing w:before="120" w:after="240"/>
      <w:outlineLvl w:val="0"/>
    </w:pPr>
    <w:rPr>
      <w:rFonts w:eastAsiaTheme="majorEastAsia" w:cstheme="majorBidi"/>
      <w:b/>
      <w:color w:val="365F91" w:themeColor="accent1" w:themeShade="BF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7AE1"/>
    <w:pPr>
      <w:keepNext/>
      <w:keepLines/>
      <w:spacing w:before="120" w:after="120"/>
      <w:outlineLvl w:val="1"/>
    </w:pPr>
    <w:rPr>
      <w:rFonts w:eastAsiaTheme="majorEastAsia" w:cstheme="majorBidi"/>
      <w:b/>
      <w:color w:val="365F91" w:themeColor="accent1" w:themeShade="BF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E7AE1"/>
    <w:pPr>
      <w:keepNext/>
      <w:keepLines/>
      <w:spacing w:before="40" w:after="0"/>
      <w:outlineLvl w:val="2"/>
    </w:pPr>
    <w:rPr>
      <w:rFonts w:eastAsiaTheme="majorEastAsia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6F0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6F0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786F0D"/>
    <w:rPr>
      <w:spacing w:val="0"/>
      <w:kern w:val="0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6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6F0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85D1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7E7AE1"/>
    <w:rPr>
      <w:rFonts w:ascii="Arial" w:eastAsiaTheme="majorEastAsia" w:hAnsi="Arial" w:cstheme="majorBidi"/>
      <w:b/>
      <w:color w:val="365F91" w:themeColor="accent1" w:themeShade="BF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E7AE1"/>
    <w:rPr>
      <w:rFonts w:ascii="Arial" w:eastAsiaTheme="majorEastAsia" w:hAnsi="Arial" w:cstheme="majorBidi"/>
      <w:b/>
      <w:color w:val="365F91" w:themeColor="accent1" w:themeShade="BF"/>
      <w:sz w:val="24"/>
      <w:szCs w:val="26"/>
    </w:rPr>
  </w:style>
  <w:style w:type="paragraph" w:styleId="Titulek">
    <w:name w:val="caption"/>
    <w:basedOn w:val="Normln"/>
    <w:next w:val="Normln"/>
    <w:unhideWhenUsed/>
    <w:qFormat/>
    <w:rsid w:val="003571A3"/>
    <w:pPr>
      <w:spacing w:line="240" w:lineRule="auto"/>
    </w:pPr>
    <w:rPr>
      <w:b/>
      <w:iCs/>
      <w:color w:val="244061" w:themeColor="accent1" w:themeShade="80"/>
      <w:szCs w:val="18"/>
    </w:rPr>
  </w:style>
  <w:style w:type="paragraph" w:customStyle="1" w:styleId="Poznmka">
    <w:name w:val="Poznámka"/>
    <w:basedOn w:val="Normln"/>
    <w:link w:val="PoznmkaChar"/>
    <w:autoRedefine/>
    <w:qFormat/>
    <w:rsid w:val="007E7AE1"/>
    <w:pPr>
      <w:spacing w:after="0" w:line="271" w:lineRule="auto"/>
    </w:pPr>
    <w:rPr>
      <w:rFonts w:eastAsiaTheme="minorEastAsia" w:cs="MetaPro-Normal"/>
      <w:i/>
      <w:color w:val="A6A6A6" w:themeColor="background1" w:themeShade="A6"/>
      <w:sz w:val="16"/>
      <w:szCs w:val="24"/>
      <w:lang w:eastAsia="cs-CZ" w:bidi="en-US"/>
    </w:rPr>
  </w:style>
  <w:style w:type="character" w:customStyle="1" w:styleId="PoznmkaChar">
    <w:name w:val="Poznámka Char"/>
    <w:basedOn w:val="Standardnpsmoodstavce"/>
    <w:link w:val="Poznmka"/>
    <w:rsid w:val="007E7AE1"/>
    <w:rPr>
      <w:rFonts w:ascii="Arial" w:eastAsiaTheme="minorEastAsia" w:hAnsi="Arial" w:cs="MetaPro-Normal"/>
      <w:i/>
      <w:color w:val="A6A6A6" w:themeColor="background1" w:themeShade="A6"/>
      <w:sz w:val="16"/>
      <w:szCs w:val="24"/>
      <w:lang w:eastAsia="cs-CZ" w:bidi="en-US"/>
    </w:rPr>
  </w:style>
  <w:style w:type="paragraph" w:customStyle="1" w:styleId="podobr">
    <w:name w:val="pod obr."/>
    <w:basedOn w:val="Normln"/>
    <w:link w:val="podobrChar"/>
    <w:qFormat/>
    <w:rsid w:val="008155AB"/>
    <w:pPr>
      <w:spacing w:before="120" w:after="0" w:line="271" w:lineRule="auto"/>
    </w:pPr>
    <w:rPr>
      <w:rFonts w:eastAsia="Times New Roman" w:cstheme="minorHAnsi"/>
      <w:i/>
      <w:color w:val="1F497D" w:themeColor="text2"/>
      <w:sz w:val="20"/>
      <w:szCs w:val="24"/>
      <w:lang w:eastAsia="cs-CZ"/>
    </w:rPr>
  </w:style>
  <w:style w:type="character" w:customStyle="1" w:styleId="podobrChar">
    <w:name w:val="pod obr. Char"/>
    <w:basedOn w:val="Standardnpsmoodstavce"/>
    <w:link w:val="podobr"/>
    <w:rsid w:val="008155AB"/>
    <w:rPr>
      <w:rFonts w:eastAsia="Times New Roman" w:cstheme="minorHAnsi"/>
      <w:i/>
      <w:color w:val="1F497D" w:themeColor="text2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409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09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0954"/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7E7AE1"/>
    <w:pPr>
      <w:spacing w:before="240" w:after="120" w:line="259" w:lineRule="auto"/>
      <w:jc w:val="left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C0138"/>
    <w:pPr>
      <w:tabs>
        <w:tab w:val="left" w:pos="440"/>
        <w:tab w:val="right" w:leader="dot" w:pos="9062"/>
      </w:tabs>
      <w:spacing w:before="360" w:after="240"/>
    </w:pPr>
  </w:style>
  <w:style w:type="paragraph" w:styleId="Obsah2">
    <w:name w:val="toc 2"/>
    <w:basedOn w:val="Normln"/>
    <w:next w:val="Normln"/>
    <w:autoRedefine/>
    <w:uiPriority w:val="39"/>
    <w:unhideWhenUsed/>
    <w:rsid w:val="00CC0138"/>
    <w:pPr>
      <w:tabs>
        <w:tab w:val="right" w:leader="dot" w:pos="9062"/>
      </w:tabs>
      <w:spacing w:after="240"/>
      <w:ind w:left="221" w:firstLine="437"/>
      <w:jc w:val="left"/>
    </w:pPr>
  </w:style>
  <w:style w:type="character" w:styleId="Hypertextovodkaz">
    <w:name w:val="Hyperlink"/>
    <w:basedOn w:val="Standardnpsmoodstavce"/>
    <w:uiPriority w:val="99"/>
    <w:unhideWhenUsed/>
    <w:rsid w:val="007B40A2"/>
    <w:rPr>
      <w:color w:val="0000FF" w:themeColor="hyperlink"/>
      <w:u w:val="single"/>
    </w:rPr>
  </w:style>
  <w:style w:type="paragraph" w:styleId="Seznamobrzk">
    <w:name w:val="table of figures"/>
    <w:basedOn w:val="Normln"/>
    <w:next w:val="Normln"/>
    <w:uiPriority w:val="99"/>
    <w:unhideWhenUsed/>
    <w:rsid w:val="007B40A2"/>
    <w:pPr>
      <w:spacing w:after="0"/>
    </w:pPr>
  </w:style>
  <w:style w:type="paragraph" w:styleId="Bezmezer">
    <w:name w:val="No Spacing"/>
    <w:uiPriority w:val="1"/>
    <w:qFormat/>
    <w:rsid w:val="007E7AE1"/>
    <w:pPr>
      <w:spacing w:after="0" w:line="240" w:lineRule="auto"/>
      <w:jc w:val="both"/>
    </w:pPr>
    <w:rPr>
      <w:rFonts w:ascii="Arial" w:hAnsi="Aria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E7AE1"/>
    <w:rPr>
      <w:rFonts w:ascii="Arial" w:eastAsiaTheme="majorEastAsia" w:hAnsi="Arial" w:cstheme="majorBidi"/>
      <w:color w:val="243F60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7E7AE1"/>
    <w:pPr>
      <w:spacing w:after="0" w:line="480" w:lineRule="auto"/>
      <w:contextualSpacing/>
      <w:jc w:val="center"/>
    </w:pPr>
    <w:rPr>
      <w:rFonts w:eastAsiaTheme="majorEastAsia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E7AE1"/>
    <w:rPr>
      <w:rFonts w:ascii="Arial" w:eastAsiaTheme="majorEastAsia" w:hAnsi="Arial" w:cstheme="majorBidi"/>
      <w:spacing w:val="-10"/>
      <w:kern w:val="28"/>
      <w:sz w:val="48"/>
      <w:szCs w:val="56"/>
    </w:rPr>
  </w:style>
  <w:style w:type="paragraph" w:styleId="Zhlav">
    <w:name w:val="header"/>
    <w:basedOn w:val="Normln"/>
    <w:link w:val="ZhlavChar"/>
    <w:uiPriority w:val="99"/>
    <w:unhideWhenUsed/>
    <w:rsid w:val="00CE6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6791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CE6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6791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1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138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3AC1B-9388-4F3A-A430-01A73B4D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9172</Words>
  <Characters>54116</Characters>
  <Application>Microsoft Office Word</Application>
  <DocSecurity>0</DocSecurity>
  <Lines>450</Lines>
  <Paragraphs>126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Nováková Marta</cp:lastModifiedBy>
  <cp:revision>2</cp:revision>
  <cp:lastPrinted>2019-05-29T19:19:00Z</cp:lastPrinted>
  <dcterms:created xsi:type="dcterms:W3CDTF">2019-08-21T08:07:00Z</dcterms:created>
  <dcterms:modified xsi:type="dcterms:W3CDTF">2019-08-21T08:07:00Z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63128/2019/GAČR/PAK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12008/2019/GAČR/SMS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20.8.2019</vt:lpwstr>
  </property>
  <property fmtid="{D5CDD505-2E9C-101B-9397-08002B2CF9AE}" pid="11" name="DisplayName_CJCol">
    <vt:lpwstr>63128/2019/GAČR/PAK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Úsek právní a koncepční</vt:lpwstr>
  </property>
  <property fmtid="{D5CDD505-2E9C-101B-9397-08002B2CF9AE}" pid="14" name="DisplayName_UserPoriz_Pisemnost">
    <vt:lpwstr>Petra Svobodová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74036/2019-GAČR</vt:lpwstr>
  </property>
  <property fmtid="{D5CDD505-2E9C-101B-9397-08002B2CF9AE}" pid="17" name="Key_BarCode_Pisemnost">
    <vt:lpwstr>*B000295905*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A/5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ZN/124/SMS/2019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Návrh SGP - JUNIOR STAR</vt:lpwstr>
  </property>
  <property fmtid="{D5CDD505-2E9C-101B-9397-08002B2CF9AE}" pid="36" name="Zkratka_SpisovyUzel_PoziceZodpo_Pisemnost">
    <vt:lpwstr>PAK</vt:lpwstr>
  </property>
</Properties>
</file>